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png" ContentType="image/pn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rPr>
          <w:rFonts w:cs="Arial"/>
          <w:b/>
          <w:bCs/>
          <w:i/>
          <w:i/>
          <w:iCs/>
          <w:color w:val="FF0000"/>
          <w:szCs w:val="18"/>
        </w:rPr>
      </w:pPr>
      <w:r>
        <w:rPr>
          <w:rFonts w:cs="Arial"/>
          <w:color w:val="5B5B5F"/>
          <w:sz w:val="36"/>
          <w:szCs w:val="36"/>
        </w:rPr>
        <w:t xml:space="preserve"> </w:t>
      </w:r>
      <w:r>
        <w:rPr>
          <w:rFonts w:cs="Arial"/>
          <w:color w:val="5B5B5F"/>
          <w:sz w:val="36"/>
          <w:szCs w:val="36"/>
        </w:rPr>
        <w:t>Aviso de</w:t>
      </w:r>
      <w:r>
        <w:rPr>
          <w:rFonts w:cs="Arial"/>
          <w:color w:val="FF0000"/>
          <w:szCs w:val="18"/>
        </w:rPr>
        <w:t xml:space="preserve"> </w:t>
      </w:r>
    </w:p>
    <w:p>
      <w:pPr>
        <w:pStyle w:val="Normal"/>
        <w:rPr>
          <w:rFonts w:cs="Arial"/>
          <w:color w:val="405CA1"/>
          <w:sz w:val="56"/>
          <w:szCs w:val="56"/>
        </w:rPr>
      </w:pPr>
      <w:r>
        <w:rPr>
          <w:rFonts w:cs="Arial"/>
          <w:color w:val="405CA1"/>
          <w:sz w:val="56"/>
          <w:szCs w:val="56"/>
        </w:rPr>
        <w:t>CONTRATAÇÃO</w:t>
      </w:r>
    </w:p>
    <w:p>
      <w:pPr>
        <w:pStyle w:val="Normal"/>
        <w:rPr>
          <w:rFonts w:cs="Arial"/>
          <w:color w:val="405CA1"/>
          <w:sz w:val="56"/>
          <w:szCs w:val="56"/>
        </w:rPr>
      </w:pPr>
      <w:r>
        <w:rPr>
          <w:rFonts w:cs="Arial"/>
          <w:color w:val="405CA1"/>
          <w:sz w:val="56"/>
          <w:szCs w:val="56"/>
        </w:rPr>
        <w:t>DIRETA</w:t>
      </w:r>
    </w:p>
    <w:p>
      <w:pPr>
        <w:pStyle w:val="Normal"/>
        <w:rPr>
          <w:rFonts w:cs="Arial"/>
          <w:b/>
          <w:bCs/>
          <w:color w:val="5B5B5F"/>
          <w:sz w:val="28"/>
          <w:szCs w:val="28"/>
        </w:rPr>
      </w:pPr>
      <w:r>
        <w:rPr>
          <w:rFonts w:cs="Arial"/>
          <w:bCs/>
          <w:color w:val="5B5B5F"/>
          <w:sz w:val="28"/>
          <w:szCs w:val="28"/>
        </w:rPr>
        <w:t>90027/2024</w:t>
      </w:r>
    </w:p>
    <w:p>
      <w:pPr>
        <w:pStyle w:val="Normal"/>
        <w:spacing w:lineRule="auto" w:line="259"/>
        <w:rPr>
          <w:rFonts w:cs="Arial"/>
          <w:b/>
          <w:bCs/>
          <w:color w:val="405CA1"/>
          <w:sz w:val="32"/>
          <w:szCs w:val="32"/>
        </w:rPr>
      </w:pPr>
      <w:r>
        <w:rPr>
          <w:rFonts w:cs="Arial"/>
          <w:b/>
          <w:bCs/>
          <w:color w:val="405CA1"/>
          <w:sz w:val="32"/>
          <w:szCs w:val="32"/>
        </w:rPr>
      </w:r>
    </w:p>
    <w:p>
      <w:pPr>
        <w:pStyle w:val="Normal"/>
        <w:spacing w:lineRule="auto" w:line="259"/>
        <w:rPr>
          <w:rFonts w:cs="Arial"/>
          <w:b/>
          <w:bCs/>
          <w:color w:val="405CA1"/>
          <w:sz w:val="32"/>
          <w:szCs w:val="32"/>
        </w:rPr>
      </w:pPr>
      <w:r>
        <w:rPr>
          <w:rFonts w:cs="Arial"/>
          <w:b/>
          <w:bCs/>
          <w:color w:val="405CA1"/>
          <w:sz w:val="32"/>
          <w:szCs w:val="32"/>
        </w:rPr>
        <w:t>CONTRATANTE (UASG)</w:t>
      </w:r>
    </w:p>
    <w:p>
      <w:pPr>
        <w:pStyle w:val="Normal"/>
        <w:rPr>
          <w:rFonts w:cs="Arial"/>
          <w:bCs/>
          <w:color w:val="5B5B5F"/>
          <w:sz w:val="28"/>
          <w:szCs w:val="28"/>
        </w:rPr>
      </w:pPr>
      <w:r>
        <w:rPr>
          <w:rFonts w:cs="Arial"/>
          <w:bCs/>
          <w:color w:val="5B5B5F"/>
          <w:sz w:val="28"/>
          <w:szCs w:val="28"/>
        </w:rPr>
        <w:t>160103</w:t>
      </w:r>
    </w:p>
    <w:p>
      <w:pPr>
        <w:pStyle w:val="Normal"/>
        <w:rPr>
          <w:rFonts w:cs="Arial"/>
          <w:b/>
          <w:bCs/>
          <w:color w:val="405CA1"/>
          <w:sz w:val="32"/>
          <w:szCs w:val="32"/>
        </w:rPr>
      </w:pPr>
      <w:r>
        <w:rPr>
          <w:rFonts w:cs="Arial"/>
          <w:b/>
          <w:bCs/>
          <w:color w:val="405CA1"/>
          <w:sz w:val="32"/>
          <w:szCs w:val="32"/>
        </w:rPr>
      </w:r>
    </w:p>
    <w:p>
      <w:pPr>
        <w:pStyle w:val="Normal"/>
        <w:rPr>
          <w:rFonts w:cs="Arial"/>
          <w:b/>
          <w:bCs/>
          <w:color w:val="5B5B5F"/>
          <w:szCs w:val="20"/>
        </w:rPr>
      </w:pPr>
      <w:r>
        <w:rPr>
          <w:rFonts w:cs="Arial"/>
          <w:b/>
          <w:bCs/>
          <w:color w:val="405CA1"/>
          <w:sz w:val="32"/>
          <w:szCs w:val="32"/>
        </w:rPr>
        <w:t>OBJETO</w:t>
      </w:r>
    </w:p>
    <w:p>
      <w:pPr>
        <w:pStyle w:val="Nivel2"/>
        <w:numPr>
          <w:ilvl w:val="1"/>
          <w:numId w:val="2"/>
        </w:numPr>
        <w:ind w:hanging="0" w:left="0"/>
        <w:rPr>
          <w:rFonts w:ascii="Times New Roman" w:hAnsi="Times New Roman"/>
          <w:sz w:val="24"/>
          <w:szCs w:val="24"/>
        </w:rPr>
      </w:pPr>
      <w:r>
        <w:rPr>
          <w:rFonts w:cs="Arial" w:ascii="Times New Roman" w:hAnsi="Times New Roman"/>
          <w:b/>
          <w:bCs/>
          <w:color w:val="000000"/>
          <w:sz w:val="24"/>
          <w:szCs w:val="24"/>
          <w:shd w:fill="00FFFF" w:val="clear"/>
        </w:rPr>
        <w:t>AQUISIÇÃO DE MATERIAL DE CONSTRUÇÃO, CONTRATAÇÃO DE SERVIÇO PARA CONFECÇÃO DE PLACA DE VEÍCULO E CONSERTO DE COMPRESSOR ODONTOLÓGICO</w:t>
      </w:r>
    </w:p>
    <w:p>
      <w:pPr>
        <w:pStyle w:val="Normal"/>
        <w:rPr>
          <w:rFonts w:cs="Arial"/>
          <w:color w:val="5B5B5F"/>
          <w:sz w:val="28"/>
          <w:szCs w:val="28"/>
        </w:rPr>
      </w:pPr>
      <w:r>
        <w:rPr>
          <w:rFonts w:cs="Arial"/>
          <w:color w:val="5B5B5F"/>
          <w:sz w:val="28"/>
          <w:szCs w:val="28"/>
        </w:rPr>
      </w:r>
    </w:p>
    <w:p>
      <w:pPr>
        <w:pStyle w:val="Normal"/>
        <w:rPr>
          <w:rFonts w:cs="Arial"/>
          <w:b/>
          <w:bCs/>
          <w:color w:val="405CA1"/>
          <w:sz w:val="32"/>
          <w:szCs w:val="32"/>
        </w:rPr>
      </w:pPr>
      <w:r>
        <w:rPr>
          <w:rFonts w:cs="Arial"/>
          <w:b/>
          <w:bCs/>
          <w:color w:val="405CA1"/>
          <w:sz w:val="32"/>
          <w:szCs w:val="32"/>
        </w:rPr>
        <w:t>VALOR TOTAL DA CONTRATAÇÃO</w:t>
      </w:r>
    </w:p>
    <w:p>
      <w:pPr>
        <w:pStyle w:val="Normal"/>
        <w:rPr>
          <w:rFonts w:cs="Arial"/>
          <w:b/>
          <w:bCs/>
          <w:color w:val="405CA1"/>
          <w:sz w:val="32"/>
          <w:szCs w:val="32"/>
        </w:rPr>
      </w:pPr>
      <w:r>
        <w:rPr>
          <w:rFonts w:cs="Arial"/>
          <w:b/>
          <w:bCs/>
          <w:color w:val="405CA1"/>
          <w:sz w:val="32"/>
          <w:szCs w:val="32"/>
        </w:rPr>
      </w:r>
    </w:p>
    <w:p>
      <w:pPr>
        <w:pStyle w:val="Normal"/>
        <w:rPr>
          <w:rFonts w:ascii="Times New Roman" w:hAnsi="Times New Roman"/>
          <w:b/>
          <w:bCs/>
          <w:sz w:val="24"/>
          <w:szCs w:val="24"/>
        </w:rPr>
      </w:pPr>
      <w:r>
        <w:rPr>
          <w:rFonts w:cs="Arial" w:ascii="Times New Roman" w:hAnsi="Times New Roman"/>
          <w:b/>
          <w:bCs/>
          <w:color w:val="5B5B5F"/>
          <w:sz w:val="24"/>
          <w:szCs w:val="24"/>
        </w:rPr>
        <w:t xml:space="preserve"> </w:t>
      </w:r>
      <w:r>
        <w:rPr>
          <w:rFonts w:cs="Arial" w:ascii="Times New Roman" w:hAnsi="Times New Roman"/>
          <w:b/>
          <w:bCs/>
          <w:color w:val="5B5B5F"/>
          <w:sz w:val="24"/>
          <w:szCs w:val="24"/>
          <w:lang w:val="pt-BR" w:eastAsia="pt-PT" w:bidi="pt-PT"/>
        </w:rPr>
        <w:t xml:space="preserve">R$ </w:t>
      </w:r>
      <w:r>
        <w:rPr>
          <w:rFonts w:cs="Arial" w:ascii="Times New Roman" w:hAnsi="Times New Roman"/>
          <w:b/>
          <w:bCs/>
          <w:color w:val="5B5B5F"/>
          <w:sz w:val="24"/>
          <w:szCs w:val="24"/>
          <w:lang w:val="pt-BR" w:eastAsia="pt-PT" w:bidi="pt-PT"/>
        </w:rPr>
        <w:t>7</w:t>
      </w:r>
      <w:r>
        <w:rPr>
          <w:rFonts w:cs="Arial" w:ascii="Times New Roman" w:hAnsi="Times New Roman"/>
          <w:b/>
          <w:bCs/>
          <w:color w:val="5B5B5F"/>
          <w:sz w:val="24"/>
          <w:szCs w:val="24"/>
          <w:lang w:val="pt-BR" w:eastAsia="pt-PT" w:bidi="pt-PT"/>
        </w:rPr>
        <w:t>.</w:t>
      </w:r>
      <w:r>
        <w:rPr>
          <w:rFonts w:cs="Arial" w:ascii="Times New Roman" w:hAnsi="Times New Roman"/>
          <w:b/>
          <w:bCs/>
          <w:color w:val="5B5B5F"/>
          <w:sz w:val="24"/>
          <w:szCs w:val="24"/>
          <w:lang w:val="pt-BR" w:eastAsia="pt-PT" w:bidi="pt-PT"/>
        </w:rPr>
        <w:t>815</w:t>
      </w:r>
      <w:r>
        <w:rPr>
          <w:rFonts w:cs="Arial" w:ascii="Times New Roman" w:hAnsi="Times New Roman"/>
          <w:b/>
          <w:bCs/>
          <w:color w:val="5B5B5F"/>
          <w:sz w:val="24"/>
          <w:szCs w:val="24"/>
          <w:lang w:val="pt-BR" w:eastAsia="pt-PT" w:bidi="pt-PT"/>
        </w:rPr>
        <w:t>,</w:t>
      </w:r>
      <w:r>
        <w:rPr>
          <w:rFonts w:cs="Arial" w:ascii="Times New Roman" w:hAnsi="Times New Roman"/>
          <w:b/>
          <w:bCs/>
          <w:color w:val="5B5B5F"/>
          <w:sz w:val="24"/>
          <w:szCs w:val="24"/>
          <w:lang w:val="pt-BR" w:eastAsia="pt-PT" w:bidi="pt-PT"/>
        </w:rPr>
        <w:t>19</w:t>
      </w:r>
    </w:p>
    <w:p>
      <w:pPr>
        <w:pStyle w:val="Normal"/>
        <w:rPr>
          <w:rFonts w:cs="Arial"/>
          <w:color w:val="5B5B5F"/>
          <w:sz w:val="32"/>
          <w:szCs w:val="32"/>
        </w:rPr>
      </w:pPr>
      <w:r>
        <w:rPr>
          <w:rFonts w:cs="Arial"/>
          <w:color w:val="5B5B5F"/>
          <w:sz w:val="32"/>
          <w:szCs w:val="32"/>
        </w:rPr>
      </w:r>
    </w:p>
    <w:p>
      <w:pPr>
        <w:pStyle w:val="Normal"/>
        <w:rPr>
          <w:rFonts w:cs="Arial"/>
          <w:b/>
          <w:bCs/>
          <w:color w:val="405CA1"/>
          <w:sz w:val="32"/>
          <w:szCs w:val="32"/>
        </w:rPr>
      </w:pPr>
      <w:r>
        <w:rPr>
          <w:rFonts w:cs="Arial"/>
          <w:b/>
          <w:bCs/>
          <w:color w:val="405CA1"/>
          <w:sz w:val="32"/>
          <w:szCs w:val="32"/>
        </w:rPr>
        <w:t xml:space="preserve">DATA DA SESSÃO </w:t>
      </w:r>
    </w:p>
    <w:p>
      <w:pPr>
        <w:pStyle w:val="Normal"/>
        <w:rPr>
          <w:rFonts w:cs="Arial"/>
          <w:color w:val="5B5B5F"/>
          <w:sz w:val="28"/>
          <w:szCs w:val="28"/>
        </w:rPr>
      </w:pPr>
      <w:r>
        <w:rPr>
          <w:rFonts w:cs="Arial"/>
          <w:color w:val="5B5B5F"/>
          <w:sz w:val="28"/>
          <w:szCs w:val="28"/>
        </w:rPr>
        <w:t>De</w:t>
      </w:r>
      <w:r>
        <w:rPr>
          <w:rFonts w:cs="Arial"/>
          <w:b/>
          <w:bCs/>
          <w:color w:val="5B5B5F"/>
          <w:sz w:val="28"/>
          <w:szCs w:val="28"/>
        </w:rPr>
        <w:t xml:space="preserve"> 18/09/2024</w:t>
      </w:r>
    </w:p>
    <w:p>
      <w:pPr>
        <w:pStyle w:val="Normal"/>
        <w:rPr>
          <w:rFonts w:cs="Arial"/>
          <w:color w:val="5B5B5F"/>
          <w:sz w:val="32"/>
          <w:szCs w:val="32"/>
        </w:rPr>
      </w:pPr>
      <w:r>
        <w:rPr>
          <w:rFonts w:cs="Arial"/>
          <w:color w:val="5B5B5F"/>
          <w:sz w:val="32"/>
          <w:szCs w:val="32"/>
        </w:rPr>
      </w:r>
    </w:p>
    <w:p>
      <w:pPr>
        <w:pStyle w:val="Normal"/>
        <w:rPr>
          <w:rFonts w:cs="Arial"/>
          <w:b/>
          <w:bCs/>
          <w:color w:val="405CA1"/>
          <w:sz w:val="32"/>
          <w:szCs w:val="32"/>
        </w:rPr>
      </w:pPr>
      <w:r>
        <w:rPr>
          <w:rFonts w:cs="Arial"/>
          <w:b/>
          <w:bCs/>
          <w:color w:val="405CA1"/>
          <w:sz w:val="32"/>
          <w:szCs w:val="32"/>
        </w:rPr>
        <w:t>HORÁRIO DA FASE DE LANCES</w:t>
      </w:r>
    </w:p>
    <w:p>
      <w:pPr>
        <w:pStyle w:val="Normal"/>
        <w:rPr>
          <w:rFonts w:cs="Arial"/>
          <w:color w:val="5B5B5F"/>
          <w:sz w:val="28"/>
          <w:szCs w:val="28"/>
        </w:rPr>
      </w:pPr>
      <w:r>
        <w:rPr>
          <w:rFonts w:cs="Arial"/>
          <w:color w:val="5B5B5F"/>
          <w:sz w:val="28"/>
          <w:szCs w:val="28"/>
        </w:rPr>
        <w:t>Das 08:00 até 14:00 h</w:t>
      </w:r>
    </w:p>
    <w:p>
      <w:pPr>
        <w:pStyle w:val="Normal"/>
        <w:rPr>
          <w:rFonts w:cs="Arial"/>
          <w:b/>
          <w:bCs/>
          <w:color w:val="405CA1"/>
          <w:sz w:val="32"/>
          <w:szCs w:val="32"/>
        </w:rPr>
      </w:pPr>
      <w:r>
        <w:rPr>
          <w:rFonts w:cs="Arial"/>
          <w:b/>
          <w:bCs/>
          <w:color w:val="405CA1"/>
          <w:sz w:val="32"/>
          <w:szCs w:val="32"/>
        </w:rPr>
      </w:r>
    </w:p>
    <w:p>
      <w:pPr>
        <w:pStyle w:val="Normal"/>
        <w:suppressAutoHyphens w:val="false"/>
        <w:spacing w:lineRule="auto" w:line="259" w:before="0" w:after="160"/>
        <w:rPr>
          <w:rFonts w:cs="Arial"/>
          <w:b/>
          <w:bCs/>
          <w:color w:val="405CA1"/>
          <w:sz w:val="32"/>
          <w:szCs w:val="32"/>
        </w:rPr>
      </w:pPr>
      <w:r>
        <w:rPr>
          <w:rFonts w:cs="Arial"/>
          <w:b/>
          <w:bCs/>
          <w:color w:val="405CA1"/>
          <w:sz w:val="32"/>
          <w:szCs w:val="32"/>
        </w:rPr>
        <w:t>CRITÉRIO DE JULGAMENTO:</w:t>
      </w:r>
    </w:p>
    <w:p>
      <w:pPr>
        <w:pStyle w:val="Normal"/>
        <w:suppressAutoHyphens w:val="false"/>
        <w:spacing w:lineRule="auto" w:line="259" w:before="0" w:after="160"/>
        <w:rPr>
          <w:rFonts w:cs="Arial"/>
          <w:b/>
          <w:bCs/>
          <w:color w:val="405CA1"/>
          <w:sz w:val="32"/>
          <w:szCs w:val="32"/>
        </w:rPr>
      </w:pPr>
      <w:r>
        <w:rPr>
          <w:rFonts w:cs="Arial"/>
          <w:b/>
          <w:bCs/>
          <w:color w:val="405CA1"/>
          <w:sz w:val="32"/>
          <w:szCs w:val="32"/>
        </w:rPr>
        <w:t>Menor preço por item</w:t>
      </w:r>
    </w:p>
    <w:p>
      <w:pPr>
        <w:pStyle w:val="Normal"/>
        <w:suppressAutoHyphens w:val="false"/>
        <w:spacing w:lineRule="auto" w:line="259" w:before="0" w:after="160"/>
        <w:rPr>
          <w:rFonts w:cs="Arial"/>
          <w:b/>
          <w:bCs/>
          <w:color w:val="405CA1"/>
          <w:sz w:val="32"/>
          <w:szCs w:val="32"/>
        </w:rPr>
      </w:pPr>
      <w:r>
        <w:rPr>
          <w:rFonts w:cs="Arial"/>
          <w:b/>
          <w:bCs/>
          <w:color w:val="405CA1"/>
          <w:sz w:val="32"/>
          <w:szCs w:val="32"/>
        </w:rPr>
        <w:t>PREFERÊNCIA ME/EPP/EQUIPARADAS</w:t>
        <w:br/>
      </w:r>
      <w:r>
        <w:rPr>
          <w:rFonts w:cs="Arial"/>
          <w:b/>
          <w:bCs/>
          <w:color w:val="5B5B5F"/>
          <w:sz w:val="28"/>
          <w:szCs w:val="28"/>
        </w:rPr>
        <w:t>SIM</w:t>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r>
        <w:br w:type="page"/>
      </w:r>
    </w:p>
    <w:p>
      <w:pPr>
        <w:pStyle w:val="Normal"/>
        <w:spacing w:lineRule="auto" w:line="276" w:before="0" w:after="0"/>
        <w:jc w:val="center"/>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sdt>
      <w:sdtPr>
        <w:docPartObj>
          <w:docPartGallery w:val="Table of Contents"/>
          <w:docPartUnique w:val="true"/>
        </w:docPartObj>
      </w:sdtPr>
      <w:sdtContent>
        <w:p>
          <w:pPr>
            <w:pStyle w:val="TOCHeading"/>
            <w:ind w:hanging="0" w:left="0"/>
            <w:rPr>
              <w:color w:val="auto"/>
            </w:rPr>
          </w:pPr>
          <w:r>
            <w:rPr/>
            <w:t>Sumário</w:t>
          </w:r>
        </w:p>
        <w:p>
          <w:pPr>
            <w:pStyle w:val="TOC1"/>
            <w:rPr>
              <w:rFonts w:ascii="Calibri" w:hAnsi="Calibri"/>
              <w:sz w:val="22"/>
              <w:szCs w:val="22"/>
            </w:rPr>
          </w:pPr>
          <w:r>
            <w:fldChar w:fldCharType="begin"/>
          </w:r>
          <w:r>
            <w:rPr>
              <w:rStyle w:val="Vnculodendice"/>
              <w:rFonts w:eastAsia="Arial Unicode MS"/>
              <w:lang w:bidi="hi-IN"/>
            </w:rPr>
            <w:instrText xml:space="preserve"> TOC \o "1-3" \h</w:instrText>
          </w:r>
          <w:r>
            <w:rPr>
              <w:rStyle w:val="Vnculodendice"/>
              <w:rFonts w:eastAsia="Arial Unicode MS"/>
              <w:lang w:bidi="hi-IN"/>
            </w:rPr>
            <w:fldChar w:fldCharType="separate"/>
          </w:r>
          <w:hyperlink w:anchor="_Toc142925860">
            <w:r>
              <w:rPr>
                <w:rStyle w:val="Vnculodendice"/>
                <w:rFonts w:eastAsia="Arial Unicode MS"/>
                <w:lang w:bidi="hi-IN"/>
              </w:rPr>
              <w:t>1.</w:t>
            </w:r>
            <w:r>
              <w:rPr>
                <w:rStyle w:val="Vnculodendice"/>
                <w:rFonts w:ascii="Calibri" w:hAnsi="Calibri"/>
                <w:sz w:val="22"/>
                <w:szCs w:val="22"/>
              </w:rPr>
              <w:tab/>
            </w:r>
            <w:r>
              <w:rPr>
                <w:rStyle w:val="Vnculodendice"/>
                <w:rFonts w:eastAsia="Arial Unicode MS"/>
                <w:lang w:bidi="hi-IN"/>
              </w:rPr>
              <w:t>OBJETO DA CONTRATAÇÃO DIRETA</w:t>
            </w:r>
            <w:r>
              <w:rPr>
                <w:rStyle w:val="Vnculodendice"/>
              </w:rPr>
              <w:tab/>
              <w:t>4</w:t>
            </w:r>
          </w:hyperlink>
          <w:hyperlink w:anchor="_Toc142925861">
            <w:r>
              <w:rPr>
                <w:webHidden/>
              </w:rPr>
              <w:fldChar w:fldCharType="begin"/>
            </w:r>
            <w:r>
              <w:rPr>
                <w:webHidden/>
              </w:rPr>
              <w:instrText xml:space="preserve">PAGEREF _Toc142925861 \h</w:instrText>
            </w:r>
            <w:r>
              <w:rPr>
                <w:webHidden/>
              </w:rPr>
              <w:fldChar w:fldCharType="separate"/>
            </w:r>
            <w:r>
              <w:rPr>
                <w:rStyle w:val="Vnculodendice"/>
              </w:rPr>
              <w:tab/>
            </w:r>
            <w:r>
              <w:rPr>
                <w:webHidden/>
              </w:rPr>
              <w:fldChar w:fldCharType="end"/>
            </w:r>
          </w:hyperlink>
        </w:p>
        <w:p>
          <w:pPr>
            <w:pStyle w:val="TOC1"/>
            <w:rPr>
              <w:rFonts w:ascii="Calibri" w:hAnsi="Calibri"/>
              <w:sz w:val="22"/>
              <w:szCs w:val="22"/>
            </w:rPr>
          </w:pPr>
          <w:hyperlink w:anchor="_Toc142925862">
            <w:r>
              <w:rPr>
                <w:rStyle w:val="Vnculodendice"/>
                <w:rFonts w:eastAsia="Arial Unicode MS"/>
                <w:lang w:bidi="hi-IN"/>
              </w:rPr>
              <w:t>3.</w:t>
            </w:r>
            <w:r>
              <w:rPr>
                <w:rStyle w:val="Vnculodendice"/>
                <w:rFonts w:ascii="Calibri" w:hAnsi="Calibri"/>
                <w:sz w:val="22"/>
                <w:szCs w:val="22"/>
              </w:rPr>
              <w:tab/>
            </w:r>
            <w:r>
              <w:rPr>
                <w:rStyle w:val="Vnculodendice"/>
                <w:rFonts w:eastAsia="Arial Unicode MS"/>
                <w:lang w:bidi="hi-IN"/>
              </w:rPr>
              <w:t>PARTICIPAÇÃO NA DISPENSA ELETRÔNICA.</w:t>
            </w:r>
            <w:r>
              <w:rPr>
                <w:webHidden/>
              </w:rPr>
              <w:fldChar w:fldCharType="begin"/>
            </w:r>
            <w:r>
              <w:rPr>
                <w:webHidden/>
              </w:rPr>
              <w:instrText xml:space="preserve">PAGEREF _Toc142925862 \h</w:instrText>
            </w:r>
            <w:r>
              <w:rPr>
                <w:webHidden/>
              </w:rPr>
              <w:fldChar w:fldCharType="separate"/>
            </w:r>
            <w:r>
              <w:rPr>
                <w:rStyle w:val="Vnculodendice"/>
              </w:rPr>
              <w:tab/>
              <w:t>5</w:t>
            </w:r>
            <w:r>
              <w:rPr>
                <w:webHidden/>
              </w:rPr>
              <w:fldChar w:fldCharType="end"/>
            </w:r>
          </w:hyperlink>
        </w:p>
        <w:p>
          <w:pPr>
            <w:pStyle w:val="TOC1"/>
            <w:rPr>
              <w:rFonts w:ascii="Calibri" w:hAnsi="Calibri"/>
              <w:sz w:val="22"/>
              <w:szCs w:val="22"/>
            </w:rPr>
          </w:pPr>
          <w:hyperlink w:anchor="_Toc142925863">
            <w:r>
              <w:rPr>
                <w:rStyle w:val="Vnculodendice"/>
                <w:rFonts w:eastAsia="Arial Unicode MS"/>
                <w:lang w:bidi="hi-IN"/>
              </w:rPr>
              <w:t>4.</w:t>
            </w:r>
            <w:r>
              <w:rPr>
                <w:rStyle w:val="Vnculodendice"/>
                <w:rFonts w:ascii="Calibri" w:hAnsi="Calibri"/>
                <w:sz w:val="22"/>
                <w:szCs w:val="22"/>
              </w:rPr>
              <w:tab/>
            </w:r>
            <w:r>
              <w:rPr>
                <w:rStyle w:val="Vnculodendice"/>
                <w:rFonts w:eastAsia="Arial Unicode MS"/>
                <w:lang w:bidi="hi-IN"/>
              </w:rPr>
              <w:t>INGRESSO NA DISPENSA ELETRÔNICA E CADASTRAMENTO DA PROPOSTA INICIAL</w:t>
            </w:r>
            <w:r>
              <w:rPr>
                <w:webHidden/>
              </w:rPr>
              <w:fldChar w:fldCharType="begin"/>
            </w:r>
            <w:r>
              <w:rPr>
                <w:webHidden/>
              </w:rPr>
              <w:instrText xml:space="preserve">PAGEREF _Toc142925863 \h</w:instrText>
            </w:r>
            <w:r>
              <w:rPr>
                <w:webHidden/>
              </w:rPr>
              <w:fldChar w:fldCharType="separate"/>
            </w:r>
            <w:r>
              <w:rPr>
                <w:rStyle w:val="Vnculodendice"/>
              </w:rPr>
              <w:tab/>
              <w:t>6</w:t>
            </w:r>
            <w:r>
              <w:rPr>
                <w:webHidden/>
              </w:rPr>
              <w:fldChar w:fldCharType="end"/>
            </w:r>
          </w:hyperlink>
        </w:p>
        <w:p>
          <w:pPr>
            <w:pStyle w:val="TOC1"/>
            <w:rPr>
              <w:rFonts w:ascii="Calibri" w:hAnsi="Calibri"/>
              <w:sz w:val="22"/>
              <w:szCs w:val="22"/>
            </w:rPr>
          </w:pPr>
          <w:hyperlink w:anchor="_Toc142925864">
            <w:r>
              <w:rPr>
                <w:rStyle w:val="Vnculodendice"/>
                <w:rFonts w:eastAsia="Arial Unicode MS"/>
                <w:lang w:bidi="hi-IN"/>
              </w:rPr>
              <w:t>5.</w:t>
            </w:r>
            <w:r>
              <w:rPr>
                <w:rStyle w:val="Vnculodendice"/>
                <w:rFonts w:ascii="Calibri" w:hAnsi="Calibri"/>
                <w:sz w:val="22"/>
                <w:szCs w:val="22"/>
              </w:rPr>
              <w:tab/>
            </w:r>
            <w:r>
              <w:rPr>
                <w:rStyle w:val="Vnculodendice"/>
                <w:rFonts w:eastAsia="Arial Unicode MS"/>
                <w:lang w:bidi="hi-IN"/>
              </w:rPr>
              <w:t>FASE DE LANCES</w:t>
            </w:r>
            <w:r>
              <w:rPr>
                <w:webHidden/>
              </w:rPr>
              <w:fldChar w:fldCharType="begin"/>
            </w:r>
            <w:r>
              <w:rPr>
                <w:webHidden/>
              </w:rPr>
              <w:instrText xml:space="preserve">PAGEREF _Toc142925864 \h</w:instrText>
            </w:r>
            <w:r>
              <w:rPr>
                <w:webHidden/>
              </w:rPr>
              <w:fldChar w:fldCharType="separate"/>
            </w:r>
            <w:r>
              <w:rPr>
                <w:rStyle w:val="Vnculodendice"/>
              </w:rPr>
              <w:tab/>
              <w:t>8</w:t>
            </w:r>
            <w:r>
              <w:rPr>
                <w:webHidden/>
              </w:rPr>
              <w:fldChar w:fldCharType="end"/>
            </w:r>
          </w:hyperlink>
        </w:p>
        <w:p>
          <w:pPr>
            <w:pStyle w:val="TOC1"/>
            <w:rPr>
              <w:rFonts w:ascii="Calibri" w:hAnsi="Calibri"/>
              <w:sz w:val="22"/>
              <w:szCs w:val="22"/>
            </w:rPr>
          </w:pPr>
          <w:hyperlink w:anchor="_Toc142925865">
            <w:r>
              <w:rPr>
                <w:rStyle w:val="Vnculodendice"/>
                <w:rFonts w:eastAsia="Arial Unicode MS"/>
                <w:lang w:bidi="hi-IN"/>
              </w:rPr>
              <w:t>6.</w:t>
            </w:r>
            <w:r>
              <w:rPr>
                <w:rStyle w:val="Vnculodendice"/>
                <w:rFonts w:ascii="Calibri" w:hAnsi="Calibri"/>
                <w:sz w:val="22"/>
                <w:szCs w:val="22"/>
              </w:rPr>
              <w:tab/>
            </w:r>
            <w:r>
              <w:rPr>
                <w:webHidden/>
              </w:rPr>
              <w:fldChar w:fldCharType="begin"/>
            </w:r>
            <w:r>
              <w:rPr>
                <w:webHidden/>
              </w:rPr>
              <w:instrText xml:space="preserve">PAGEREF _Toc142925865 \h</w:instrText>
            </w:r>
            <w:r>
              <w:rPr>
                <w:webHidden/>
              </w:rPr>
              <w:fldChar w:fldCharType="separate"/>
            </w:r>
            <w:r>
              <w:rPr>
                <w:rStyle w:val="Vnculodendice"/>
              </w:rPr>
              <w:t xml:space="preserve">JULGAMENTO E ACEITAÇÃO DAS PROPOSTAS </w:t>
              <w:tab/>
              <w:t>9</w:t>
            </w:r>
            <w:r>
              <w:rPr>
                <w:webHidden/>
              </w:rPr>
              <w:fldChar w:fldCharType="end"/>
            </w:r>
          </w:hyperlink>
        </w:p>
        <w:p>
          <w:pPr>
            <w:pStyle w:val="TOC1"/>
            <w:rPr>
              <w:rFonts w:ascii="Calibri" w:hAnsi="Calibri"/>
              <w:sz w:val="22"/>
              <w:szCs w:val="22"/>
            </w:rPr>
          </w:pPr>
          <w:hyperlink w:anchor="_Toc142925866">
            <w:r>
              <w:rPr>
                <w:rStyle w:val="Vnculodendice"/>
                <w:rFonts w:eastAsia="Arial Unicode MS"/>
                <w:lang w:bidi="hi-IN"/>
              </w:rPr>
              <w:t>7.</w:t>
            </w:r>
            <w:r>
              <w:rPr>
                <w:rStyle w:val="Vnculodendice"/>
                <w:rFonts w:ascii="Calibri" w:hAnsi="Calibri"/>
                <w:sz w:val="22"/>
                <w:szCs w:val="22"/>
              </w:rPr>
              <w:tab/>
            </w:r>
            <w:r>
              <w:rPr>
                <w:rStyle w:val="Vnculodendice"/>
                <w:rFonts w:eastAsia="Arial Unicode MS"/>
                <w:lang w:bidi="hi-IN"/>
              </w:rPr>
              <w:t>HABILITAÇÃO</w:t>
            </w:r>
            <w:r>
              <w:rPr>
                <w:rStyle w:val="Vnculodendice"/>
              </w:rPr>
              <w:tab/>
              <w:t>10</w:t>
            </w:r>
          </w:hyperlink>
          <w:hyperlink w:anchor="_Toc142925867">
            <w:r>
              <w:rPr>
                <w:webHidden/>
              </w:rPr>
              <w:fldChar w:fldCharType="begin"/>
            </w:r>
            <w:r>
              <w:rPr>
                <w:webHidden/>
              </w:rPr>
              <w:instrText xml:space="preserve">PAGEREF _Toc142925867 \h</w:instrText>
            </w:r>
            <w:r>
              <w:rPr>
                <w:webHidden/>
              </w:rPr>
              <w:fldChar w:fldCharType="separate"/>
            </w:r>
            <w:r>
              <w:rPr>
                <w:rStyle w:val="Vnculodendice"/>
              </w:rPr>
              <w:tab/>
            </w:r>
            <w:r>
              <w:rPr>
                <w:webHidden/>
              </w:rPr>
              <w:fldChar w:fldCharType="end"/>
            </w:r>
          </w:hyperlink>
        </w:p>
        <w:p>
          <w:pPr>
            <w:pStyle w:val="TOC1"/>
            <w:rPr>
              <w:rFonts w:ascii="Calibri" w:hAnsi="Calibri"/>
              <w:sz w:val="22"/>
              <w:szCs w:val="22"/>
            </w:rPr>
          </w:pPr>
          <w:r>
            <w:rPr>
              <w:rFonts w:eastAsia="Arial Unicode MS"/>
              <w:lang w:bidi="hi-IN"/>
            </w:rPr>
            <w:t>8</w:t>
          </w:r>
          <w:hyperlink w:anchor="_Toc142925869">
            <w:r>
              <w:rPr>
                <w:rStyle w:val="Vnculodendice"/>
                <w:rFonts w:eastAsia="Arial Unicode MS"/>
                <w:lang w:bidi="hi-IN"/>
              </w:rPr>
              <w:t>.</w:t>
            </w:r>
            <w:r>
              <w:rPr>
                <w:rStyle w:val="Vnculodendice"/>
                <w:rFonts w:ascii="Calibri" w:hAnsi="Calibri"/>
                <w:sz w:val="22"/>
                <w:szCs w:val="22"/>
              </w:rPr>
              <w:tab/>
            </w:r>
            <w:r>
              <w:rPr>
                <w:rStyle w:val="Vnculodendice"/>
                <w:rFonts w:eastAsia="Arial Unicode MS"/>
                <w:lang w:bidi="hi-IN"/>
              </w:rPr>
              <w:t>CONTRATAÇÃO</w:t>
            </w:r>
            <w:r>
              <w:rPr>
                <w:webHidden/>
              </w:rPr>
              <w:fldChar w:fldCharType="begin"/>
            </w:r>
            <w:r>
              <w:rPr>
                <w:webHidden/>
              </w:rPr>
              <w:instrText xml:space="preserve">PAGEREF _Toc142925869 \h</w:instrText>
            </w:r>
            <w:r>
              <w:rPr>
                <w:webHidden/>
              </w:rPr>
              <w:fldChar w:fldCharType="separate"/>
            </w:r>
            <w:r>
              <w:rPr>
                <w:rStyle w:val="Vnculodendice"/>
              </w:rPr>
              <w:tab/>
              <w:t>13</w:t>
            </w:r>
            <w:r>
              <w:rPr>
                <w:webHidden/>
              </w:rPr>
              <w:fldChar w:fldCharType="end"/>
            </w:r>
          </w:hyperlink>
        </w:p>
        <w:p>
          <w:pPr>
            <w:pStyle w:val="TOC1"/>
            <w:rPr>
              <w:rFonts w:ascii="Calibri" w:hAnsi="Calibri"/>
              <w:sz w:val="22"/>
              <w:szCs w:val="22"/>
            </w:rPr>
          </w:pPr>
          <w:r>
            <w:rPr>
              <w:rFonts w:eastAsia="Arial Unicode MS"/>
              <w:lang w:bidi="hi-IN"/>
            </w:rPr>
            <w:t>9</w:t>
          </w:r>
          <w:hyperlink w:anchor="_Toc142925870">
            <w:r>
              <w:rPr>
                <w:rStyle w:val="Vnculodendice"/>
                <w:rFonts w:eastAsia="Arial Unicode MS"/>
                <w:lang w:bidi="hi-IN"/>
              </w:rPr>
              <w:t>.</w:t>
            </w:r>
            <w:r>
              <w:rPr>
                <w:rStyle w:val="Vnculodendice"/>
                <w:rFonts w:ascii="Calibri" w:hAnsi="Calibri"/>
                <w:sz w:val="22"/>
                <w:szCs w:val="22"/>
              </w:rPr>
              <w:tab/>
            </w:r>
            <w:r>
              <w:rPr>
                <w:rStyle w:val="Vnculodendice"/>
                <w:rFonts w:eastAsia="Arial Unicode MS"/>
                <w:lang w:bidi="hi-IN"/>
              </w:rPr>
              <w:t>INFRAÇÕES E SANÇÕES ADMINISTRATIVAS</w:t>
            </w:r>
            <w:r>
              <w:rPr>
                <w:webHidden/>
              </w:rPr>
              <w:fldChar w:fldCharType="begin"/>
            </w:r>
            <w:r>
              <w:rPr>
                <w:webHidden/>
              </w:rPr>
              <w:instrText xml:space="preserve">PAGEREF _Toc142925870 \h</w:instrText>
            </w:r>
            <w:r>
              <w:rPr>
                <w:webHidden/>
              </w:rPr>
              <w:fldChar w:fldCharType="separate"/>
            </w:r>
            <w:r>
              <w:rPr>
                <w:rStyle w:val="Vnculodendice"/>
              </w:rPr>
              <w:tab/>
              <w:t>14</w:t>
            </w:r>
            <w:r>
              <w:rPr>
                <w:webHidden/>
              </w:rPr>
              <w:fldChar w:fldCharType="end"/>
            </w:r>
          </w:hyperlink>
        </w:p>
        <w:p>
          <w:pPr>
            <w:pStyle w:val="TOC1"/>
            <w:rPr>
              <w:rFonts w:ascii="Calibri" w:hAnsi="Calibri"/>
              <w:sz w:val="22"/>
              <w:szCs w:val="22"/>
            </w:rPr>
          </w:pPr>
          <w:hyperlink w:anchor="_Toc142925871">
            <w:r>
              <w:rPr>
                <w:rStyle w:val="Vnculodendice"/>
                <w:rFonts w:eastAsia="Arial Unicode MS"/>
                <w:lang w:bidi="hi-IN"/>
              </w:rPr>
              <w:t>10.</w:t>
            </w:r>
            <w:r>
              <w:rPr>
                <w:rStyle w:val="Vnculodendice"/>
                <w:rFonts w:ascii="Calibri" w:hAnsi="Calibri"/>
                <w:sz w:val="22"/>
                <w:szCs w:val="22"/>
              </w:rPr>
              <w:tab/>
            </w:r>
            <w:r>
              <w:rPr>
                <w:rStyle w:val="Vnculodendice"/>
                <w:rFonts w:eastAsia="Arial Unicode MS"/>
                <w:lang w:bidi="hi-IN"/>
              </w:rPr>
              <w:t>DAS DISPOSIÇÕES GERAIS</w:t>
            </w:r>
            <w:r>
              <w:rPr>
                <w:webHidden/>
              </w:rPr>
              <w:fldChar w:fldCharType="begin"/>
            </w:r>
            <w:r>
              <w:rPr>
                <w:webHidden/>
              </w:rPr>
              <w:instrText xml:space="preserve">PAGEREF _Toc142925871 \h</w:instrText>
            </w:r>
            <w:r>
              <w:rPr>
                <w:webHidden/>
              </w:rPr>
              <w:fldChar w:fldCharType="separate"/>
            </w:r>
            <w:r>
              <w:rPr>
                <w:rStyle w:val="Vnculodendice"/>
              </w:rPr>
              <w:tab/>
              <w:t>16</w:t>
            </w:r>
            <w:r>
              <w:rPr>
                <w:webHidden/>
              </w:rPr>
              <w:fldChar w:fldCharType="end"/>
            </w:r>
          </w:hyperlink>
        </w:p>
        <w:p>
          <w:pPr>
            <w:pStyle w:val="Normal"/>
            <w:rPr/>
          </w:pPr>
          <w:r>
            <w:rPr/>
          </w:r>
          <w:r>
            <w:rPr/>
            <w:fldChar w:fldCharType="end"/>
          </w:r>
        </w:p>
        <w:p>
          <w:pPr>
            <w:sectPr>
              <w:headerReference w:type="default" r:id="rId2"/>
              <w:headerReference w:type="first" r:id="rId3"/>
              <w:footerReference w:type="default" r:id="rId4"/>
              <w:type w:val="nextPage"/>
              <w:pgSz w:w="11906" w:h="16838"/>
              <w:pgMar w:left="1701" w:right="1701" w:gutter="0" w:header="0" w:top="1417" w:footer="708" w:bottom="1417"/>
              <w:pgNumType w:fmt="decimal"/>
              <w:formProt w:val="false"/>
              <w:titlePg/>
              <w:textDirection w:val="lrTb"/>
              <w:docGrid w:type="default" w:linePitch="360" w:charSpace="0"/>
            </w:sectPr>
          </w:pPr>
          <w:r>
            <w:br w:type="page"/>
          </w:r>
        </w:p>
      </w:sdtContent>
    </w:sdt>
    <w:p>
      <w:pPr>
        <w:pStyle w:val="BodyText"/>
        <w:spacing w:before="0" w:after="280"/>
        <w:jc w:val="center"/>
        <w:rPr>
          <w:rFonts w:ascii="Calibri Light" w:hAnsi="Calibri Light"/>
          <w:sz w:val="24"/>
        </w:rPr>
      </w:pPr>
      <w:r>
        <w:rPr>
          <w:rFonts w:ascii="Calibri Light" w:hAnsi="Calibri Light"/>
          <w:sz w:val="24"/>
        </w:rPr>
        <w:drawing>
          <wp:anchor behindDoc="0" distT="0" distB="0" distL="0" distR="0" simplePos="0" locked="0" layoutInCell="0" allowOverlap="1" relativeHeight="3">
            <wp:simplePos x="0" y="0"/>
            <wp:positionH relativeFrom="column">
              <wp:posOffset>2769235</wp:posOffset>
            </wp:positionH>
            <wp:positionV relativeFrom="paragraph">
              <wp:posOffset>147955</wp:posOffset>
            </wp:positionV>
            <wp:extent cx="577850" cy="508000"/>
            <wp:effectExtent l="0" t="0" r="0" b="0"/>
            <wp:wrapSquare wrapText="bothSides"/>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5"/>
                    <a:stretch>
                      <a:fillRect/>
                    </a:stretch>
                  </pic:blipFill>
                  <pic:spPr bwMode="auto">
                    <a:xfrm>
                      <a:off x="0" y="0"/>
                      <a:ext cx="577850" cy="508000"/>
                    </a:xfrm>
                    <a:prstGeom prst="rect">
                      <a:avLst/>
                    </a:prstGeom>
                  </pic:spPr>
                </pic:pic>
              </a:graphicData>
            </a:graphic>
          </wp:anchor>
        </w:drawing>
      </w:r>
    </w:p>
    <w:p>
      <w:pPr>
        <w:pStyle w:val="Normal"/>
        <w:jc w:val="center"/>
        <w:rPr>
          <w:rFonts w:ascii="Calibri Light" w:hAnsi="Calibri Light" w:eastAsia="Calibri" w:cs="Calibri"/>
          <w:b/>
          <w:sz w:val="24"/>
        </w:rPr>
      </w:pPr>
      <w:r>
        <w:rPr>
          <w:rFonts w:eastAsia="Calibri" w:cs="Calibri" w:ascii="Calibri Light" w:hAnsi="Calibri Light"/>
          <w:b/>
          <w:sz w:val="24"/>
        </w:rPr>
      </w:r>
    </w:p>
    <w:p>
      <w:pPr>
        <w:pStyle w:val="BodyText"/>
        <w:spacing w:lineRule="auto" w:line="240" w:before="0" w:after="83"/>
        <w:jc w:val="center"/>
        <w:rPr>
          <w:rFonts w:ascii="Times New Roman" w:hAnsi="Times New Roman" w:eastAsia="Calibri" w:cs="Arial"/>
          <w:b/>
          <w:bCs/>
          <w:sz w:val="24"/>
        </w:rPr>
      </w:pPr>
      <w:r>
        <w:rPr>
          <w:rFonts w:eastAsia="Calibri" w:cs="Arial" w:ascii="Times New Roman" w:hAnsi="Times New Roman"/>
          <w:b/>
          <w:bCs/>
          <w:sz w:val="24"/>
        </w:rPr>
      </w:r>
    </w:p>
    <w:p>
      <w:pPr>
        <w:pStyle w:val="BodyText"/>
        <w:spacing w:lineRule="auto" w:line="240" w:before="0" w:after="83"/>
        <w:jc w:val="center"/>
        <w:rPr>
          <w:rFonts w:ascii="Times New Roman" w:hAnsi="Times New Roman" w:eastAsia="Calibri" w:cs="Arial"/>
          <w:b/>
          <w:bCs/>
          <w:sz w:val="24"/>
        </w:rPr>
      </w:pPr>
      <w:r>
        <w:rPr>
          <w:rFonts w:eastAsia="Calibri" w:cs="Arial" w:ascii="Times New Roman" w:hAnsi="Times New Roman"/>
          <w:b/>
          <w:bCs/>
          <w:sz w:val="24"/>
        </w:rPr>
        <w:t xml:space="preserve">MINISTÉRIO DA DEFESA </w:t>
      </w:r>
    </w:p>
    <w:p>
      <w:pPr>
        <w:pStyle w:val="BodyText"/>
        <w:spacing w:lineRule="auto" w:line="240" w:before="0" w:after="83"/>
        <w:jc w:val="center"/>
        <w:rPr>
          <w:rFonts w:ascii="Times New Roman" w:hAnsi="Times New Roman"/>
          <w:b/>
          <w:color w:val="000000"/>
          <w:sz w:val="24"/>
        </w:rPr>
      </w:pPr>
      <w:r>
        <w:rPr>
          <w:rFonts w:ascii="Times New Roman" w:hAnsi="Times New Roman"/>
          <w:b/>
          <w:color w:val="000000"/>
          <w:sz w:val="24"/>
        </w:rPr>
        <w:t>EXÉRCITO BRASILEIRO</w:t>
      </w:r>
    </w:p>
    <w:p>
      <w:pPr>
        <w:pStyle w:val="BodyText"/>
        <w:spacing w:lineRule="auto" w:line="240" w:before="0" w:after="83"/>
        <w:jc w:val="center"/>
        <w:rPr>
          <w:rFonts w:ascii="Times New Roman" w:hAnsi="Times New Roman"/>
          <w:b/>
          <w:color w:val="000000"/>
          <w:sz w:val="24"/>
        </w:rPr>
      </w:pPr>
      <w:r>
        <w:rPr>
          <w:rFonts w:ascii="Times New Roman" w:hAnsi="Times New Roman"/>
          <w:b/>
          <w:color w:val="000000"/>
          <w:sz w:val="24"/>
        </w:rPr>
        <w:t>CMN - 23ª Bda Inf Sl</w:t>
      </w:r>
    </w:p>
    <w:p>
      <w:pPr>
        <w:pStyle w:val="BodyText"/>
        <w:spacing w:lineRule="auto" w:line="240" w:before="0" w:after="83"/>
        <w:jc w:val="center"/>
        <w:rPr>
          <w:rFonts w:ascii="Times New Roman" w:hAnsi="Times New Roman"/>
          <w:b/>
          <w:color w:val="000000"/>
          <w:sz w:val="24"/>
        </w:rPr>
      </w:pPr>
      <w:r>
        <w:rPr>
          <w:rFonts w:ascii="Times New Roman" w:hAnsi="Times New Roman"/>
          <w:b/>
          <w:color w:val="000000"/>
          <w:sz w:val="24"/>
        </w:rPr>
        <w:t>50º BATALHÃO DE INFANTARIA DE SELVA</w:t>
      </w:r>
    </w:p>
    <w:p>
      <w:pPr>
        <w:pStyle w:val="BodyText"/>
        <w:spacing w:lineRule="auto" w:line="240" w:before="0" w:after="83"/>
        <w:jc w:val="center"/>
        <w:rPr>
          <w:rFonts w:ascii="Times New Roman" w:hAnsi="Times New Roman"/>
          <w:b/>
          <w:sz w:val="24"/>
        </w:rPr>
      </w:pPr>
      <w:r>
        <w:rPr>
          <w:rFonts w:ascii="Times New Roman" w:hAnsi="Times New Roman"/>
          <w:b/>
          <w:sz w:val="24"/>
        </w:rPr>
        <w:t>(24 BC/1919)</w:t>
      </w:r>
    </w:p>
    <w:p>
      <w:pPr>
        <w:pStyle w:val="BodyText"/>
        <w:spacing w:lineRule="auto" w:line="240" w:before="0" w:after="83"/>
        <w:jc w:val="center"/>
        <w:rPr>
          <w:rFonts w:ascii="Times New Roman" w:hAnsi="Times New Roman"/>
          <w:b/>
          <w:color w:val="000000"/>
          <w:sz w:val="24"/>
        </w:rPr>
      </w:pPr>
      <w:r>
        <w:rPr>
          <w:rFonts w:ascii="Times New Roman" w:hAnsi="Times New Roman"/>
          <w:b/>
          <w:color w:val="000000"/>
          <w:sz w:val="24"/>
        </w:rPr>
        <w:t>BATALHÃO CAP MOR MONIZ BARRETO</w:t>
      </w:r>
    </w:p>
    <w:p>
      <w:pPr>
        <w:pStyle w:val="Normal"/>
        <w:spacing w:lineRule="auto" w:line="276" w:before="0" w:after="120"/>
        <w:ind w:right="-15"/>
        <w:jc w:val="center"/>
        <w:rPr>
          <w:rFonts w:ascii="Times New Roman" w:hAnsi="Times New Roman"/>
          <w:sz w:val="24"/>
        </w:rPr>
      </w:pPr>
      <w:r>
        <w:rPr>
          <w:rFonts w:cs="Arial" w:ascii="Times New Roman" w:hAnsi="Times New Roman"/>
          <w:b/>
          <w:bCs/>
          <w:color w:val="000000"/>
          <w:sz w:val="24"/>
        </w:rPr>
        <w:t>Processo Administrativo n.° 64118.008414/2024-28</w:t>
      </w:r>
    </w:p>
    <w:p>
      <w:pPr>
        <w:pStyle w:val="Normal"/>
        <w:rPr>
          <w:rFonts w:ascii="Times New Roman" w:hAnsi="Times New Roman" w:cs="Arial"/>
          <w:sz w:val="24"/>
        </w:rPr>
      </w:pPr>
      <w:r>
        <w:rPr>
          <w:rFonts w:cs="Arial" w:ascii="Times New Roman" w:hAnsi="Times New Roman"/>
          <w:sz w:val="24"/>
        </w:rPr>
      </w:r>
    </w:p>
    <w:p>
      <w:pPr>
        <w:pStyle w:val="Normal"/>
        <w:snapToGrid w:val="false"/>
        <w:spacing w:lineRule="auto" w:line="276" w:before="0" w:after="120"/>
        <w:ind w:firstLine="540" w:right="-30"/>
        <w:jc w:val="both"/>
        <w:rPr/>
      </w:pPr>
      <w:r>
        <w:rPr>
          <w:rFonts w:cs="Arial" w:ascii="Times New Roman" w:hAnsi="Times New Roman"/>
          <w:color w:val="000000"/>
          <w:sz w:val="24"/>
        </w:rPr>
        <w:t>Torna-se público que o</w:t>
      </w:r>
      <w:r>
        <w:rPr>
          <w:rFonts w:eastAsia="Arial" w:cs="Arial" w:ascii="Times New Roman" w:hAnsi="Times New Roman"/>
          <w:color w:val="000000"/>
          <w:sz w:val="24"/>
        </w:rPr>
        <w:t xml:space="preserve"> </w:t>
      </w:r>
      <w:r>
        <w:rPr>
          <w:rFonts w:eastAsia="Arial" w:cs="Arial" w:ascii="Times New Roman" w:hAnsi="Times New Roman"/>
          <w:b/>
          <w:bCs/>
          <w:color w:val="000000"/>
          <w:sz w:val="24"/>
        </w:rPr>
        <w:t>50º BATALHÃO DE INFANTARIA DE SELVA</w:t>
      </w:r>
      <w:r>
        <w:rPr>
          <w:rFonts w:cs="Arial" w:ascii="Times New Roman" w:hAnsi="Times New Roman"/>
          <w:color w:val="000000"/>
          <w:sz w:val="24"/>
        </w:rPr>
        <w:t xml:space="preserve">, por meio da Seção de aquisições, licitações e contratos, realizará Dispensa Eletrônica, </w:t>
      </w:r>
      <w:r>
        <w:rPr>
          <w:rFonts w:cs="Arial" w:ascii="Times New Roman" w:hAnsi="Times New Roman"/>
          <w:bCs/>
          <w:color w:val="000000"/>
          <w:sz w:val="24"/>
        </w:rPr>
        <w:t>com critério de julgamento de</w:t>
      </w:r>
      <w:r>
        <w:rPr>
          <w:rFonts w:cs="Arial" w:ascii="Times New Roman" w:hAnsi="Times New Roman"/>
          <w:b/>
          <w:bCs/>
          <w:color w:val="000000"/>
          <w:sz w:val="24"/>
        </w:rPr>
        <w:t xml:space="preserve"> </w:t>
      </w:r>
      <w:r>
        <w:rPr>
          <w:rFonts w:cs="Arial" w:ascii="Times New Roman" w:hAnsi="Times New Roman"/>
          <w:b/>
          <w:bCs/>
          <w:sz w:val="24"/>
        </w:rPr>
        <w:t>menor preço,</w:t>
      </w:r>
      <w:r>
        <w:rPr>
          <w:rFonts w:cs="Arial" w:ascii="Times New Roman" w:hAnsi="Times New Roman"/>
          <w:b/>
          <w:bCs/>
          <w:i/>
          <w:color w:val="FF0000"/>
          <w:sz w:val="24"/>
        </w:rPr>
        <w:t xml:space="preserve"> </w:t>
      </w:r>
      <w:r>
        <w:rPr>
          <w:rFonts w:cs="Arial" w:ascii="Times New Roman" w:hAnsi="Times New Roman"/>
          <w:color w:val="000000"/>
          <w:sz w:val="24"/>
        </w:rPr>
        <w:t>na hipótese do art. 75</w:t>
      </w:r>
      <w:r>
        <w:rPr>
          <w:rFonts w:cs="Arial" w:ascii="Times New Roman" w:hAnsi="Times New Roman"/>
          <w:i/>
          <w:iCs/>
          <w:color w:val="000000"/>
          <w:sz w:val="24"/>
        </w:rPr>
        <w:t xml:space="preserve">, </w:t>
      </w:r>
      <w:r>
        <w:rPr>
          <w:rFonts w:cs="Arial" w:ascii="Times New Roman" w:hAnsi="Times New Roman"/>
          <w:sz w:val="24"/>
        </w:rPr>
        <w:t>inciso II - para contratação que envolva valores inferiores a R$  59.906,02  (cinquenta e nove mil, novecentos e seis reais e dois centavos), no caso de outros serviços e compras, n</w:t>
      </w:r>
      <w:r>
        <w:rPr>
          <w:rFonts w:cs="Arial" w:ascii="Times New Roman" w:hAnsi="Times New Roman"/>
          <w:bCs/>
          <w:color w:themeColor="dark1" w:val="000000"/>
          <w:sz w:val="24"/>
        </w:rPr>
        <w:t>os termos da Lei nº 14.133, de 1º de abril de 2021, da Instrução Normativa Seges/ME nº 67/2021 e demais normas aplicáveis</w:t>
      </w:r>
      <w:r>
        <w:rPr>
          <w:rFonts w:cs="Arial" w:ascii="Times New Roman" w:hAnsi="Times New Roman"/>
          <w:bCs/>
          <w:color w:val="000000"/>
          <w:sz w:val="24"/>
        </w:rPr>
        <w:t>.</w:t>
      </w:r>
      <w:r>
        <w:rPr>
          <w:rFonts w:cs="Arial" w:ascii="Times New Roman" w:hAnsi="Times New Roman"/>
          <w:color w:val="000000"/>
          <w:sz w:val="24"/>
        </w:rPr>
        <w:t>.</w:t>
      </w:r>
    </w:p>
    <w:p>
      <w:pPr>
        <w:pStyle w:val="Normal"/>
        <w:spacing w:lineRule="auto" w:line="276"/>
        <w:jc w:val="both"/>
        <w:rPr>
          <w:rFonts w:ascii="Times New Roman" w:hAnsi="Times New Roman" w:cs="Arial"/>
          <w:color w:themeColor="dark1" w:val="000000"/>
          <w:sz w:val="24"/>
        </w:rPr>
      </w:pPr>
      <w:r>
        <w:rPr>
          <w:rFonts w:cs="Arial" w:ascii="Times New Roman" w:hAnsi="Times New Roman"/>
          <w:color w:themeColor="dark1" w:val="000000"/>
          <w:sz w:val="24"/>
        </w:rPr>
      </w:r>
    </w:p>
    <w:p>
      <w:pPr>
        <w:pStyle w:val="Normal"/>
        <w:spacing w:lineRule="auto" w:line="276"/>
        <w:jc w:val="both"/>
        <w:rPr>
          <w:rFonts w:ascii="Times New Roman" w:hAnsi="Times New Roman"/>
          <w:sz w:val="24"/>
        </w:rPr>
      </w:pPr>
      <w:r>
        <w:rPr>
          <w:rFonts w:cs="Arial" w:ascii="Times New Roman" w:hAnsi="Times New Roman"/>
          <w:b/>
          <w:bCs/>
          <w:sz w:val="24"/>
        </w:rPr>
        <w:t>Data da sessão</w:t>
      </w:r>
      <w:r>
        <w:rPr>
          <w:rFonts w:cs="Arial" w:ascii="Times New Roman" w:hAnsi="Times New Roman"/>
          <w:sz w:val="24"/>
        </w:rPr>
        <w:t xml:space="preserve">: </w:t>
      </w:r>
      <w:r>
        <w:rPr>
          <w:rFonts w:cs="Arial" w:ascii="Times New Roman" w:hAnsi="Times New Roman"/>
          <w:b/>
          <w:bCs/>
          <w:sz w:val="24"/>
          <w:shd w:fill="FFFF00" w:val="clear"/>
        </w:rPr>
        <w:t>18</w:t>
      </w:r>
      <w:r>
        <w:rPr>
          <w:rFonts w:cs="Arial" w:ascii="Times New Roman" w:hAnsi="Times New Roman"/>
          <w:b/>
          <w:bCs/>
          <w:color w:val="000000"/>
          <w:sz w:val="24"/>
          <w:shd w:fill="FFFF00" w:val="clear"/>
        </w:rPr>
        <w:t>/09/2024</w:t>
      </w:r>
    </w:p>
    <w:p>
      <w:pPr>
        <w:pStyle w:val="Normal"/>
        <w:spacing w:lineRule="auto" w:line="276"/>
        <w:rPr>
          <w:rFonts w:ascii="Times New Roman" w:hAnsi="Times New Roman"/>
          <w:sz w:val="24"/>
        </w:rPr>
      </w:pPr>
      <w:r>
        <w:rPr>
          <w:rFonts w:cs="Arial" w:ascii="Times New Roman" w:hAnsi="Times New Roman"/>
          <w:b/>
          <w:bCs/>
          <w:sz w:val="24"/>
        </w:rPr>
        <w:t>Link</w:t>
      </w:r>
      <w:r>
        <w:rPr>
          <w:rFonts w:cs="Arial" w:ascii="Times New Roman" w:hAnsi="Times New Roman"/>
          <w:sz w:val="24"/>
        </w:rPr>
        <w:t>: https://https://www.gov.br/compras/pt-br</w:t>
      </w:r>
    </w:p>
    <w:p>
      <w:pPr>
        <w:pStyle w:val="Normal"/>
        <w:snapToGrid w:val="false"/>
        <w:spacing w:lineRule="auto" w:line="276" w:before="0" w:after="120"/>
        <w:ind w:right="-30"/>
        <w:jc w:val="both"/>
        <w:rPr>
          <w:rFonts w:ascii="Times New Roman" w:hAnsi="Times New Roman"/>
          <w:sz w:val="24"/>
        </w:rPr>
      </w:pPr>
      <w:r>
        <w:rPr>
          <w:rFonts w:ascii="Times New Roman" w:hAnsi="Times New Roman"/>
          <w:b/>
          <w:bCs/>
          <w:color w:val="000000"/>
          <w:sz w:val="24"/>
        </w:rPr>
        <w:t>Horário da Fase de Lances</w:t>
      </w:r>
      <w:r>
        <w:rPr>
          <w:rFonts w:ascii="Times New Roman" w:hAnsi="Times New Roman"/>
          <w:color w:val="000000"/>
          <w:sz w:val="24"/>
        </w:rPr>
        <w:t>:</w:t>
      </w:r>
      <w:r>
        <w:rPr>
          <w:rFonts w:ascii="Times New Roman" w:hAnsi="Times New Roman"/>
          <w:b/>
          <w:bCs/>
          <w:color w:val="000000"/>
          <w:sz w:val="24"/>
          <w:shd w:fill="FFFF00" w:val="clear"/>
        </w:rPr>
        <w:t xml:space="preserve"> 08:00 h</w:t>
      </w:r>
    </w:p>
    <w:p>
      <w:pPr>
        <w:pStyle w:val="Normal"/>
        <w:snapToGrid w:val="false"/>
        <w:spacing w:lineRule="auto" w:line="276" w:before="0" w:after="120"/>
        <w:ind w:right="-30"/>
        <w:jc w:val="both"/>
        <w:rPr>
          <w:rFonts w:ascii="Times New Roman" w:hAnsi="Times New Roman"/>
          <w:sz w:val="24"/>
        </w:rPr>
      </w:pPr>
      <w:r>
        <w:rPr>
          <w:rFonts w:cs="Arial" w:ascii="Times New Roman" w:hAnsi="Times New Roman"/>
          <w:b/>
          <w:bCs/>
          <w:sz w:val="24"/>
        </w:rPr>
        <w:t>Critério de Julgamento:</w:t>
      </w:r>
      <w:r>
        <w:rPr>
          <w:rFonts w:cs="Arial" w:ascii="Times New Roman" w:hAnsi="Times New Roman"/>
          <w:sz w:val="24"/>
        </w:rPr>
        <w:t xml:space="preserve"> </w:t>
      </w:r>
      <w:r>
        <w:rPr>
          <w:rFonts w:cs="Arial" w:ascii="Times New Roman" w:hAnsi="Times New Roman"/>
          <w:b/>
          <w:bCs/>
          <w:color w:val="000000"/>
          <w:sz w:val="24"/>
          <w:shd w:fill="FFFF00" w:val="clear"/>
        </w:rPr>
        <w:t>menor preço</w:t>
      </w:r>
    </w:p>
    <w:p>
      <w:pPr>
        <w:pStyle w:val="Normal"/>
        <w:spacing w:lineRule="auto" w:line="276"/>
        <w:ind w:right="-15"/>
        <w:jc w:val="both"/>
        <w:rPr>
          <w:rFonts w:ascii="Times New Roman" w:hAnsi="Times New Roman"/>
          <w:sz w:val="24"/>
        </w:rPr>
      </w:pPr>
      <w:r>
        <w:rPr>
          <w:rFonts w:ascii="Times New Roman" w:hAnsi="Times New Roman"/>
          <w:sz w:val="24"/>
        </w:rPr>
      </w:r>
    </w:p>
    <w:p>
      <w:pPr>
        <w:pStyle w:val="Normal"/>
        <w:spacing w:lineRule="auto" w:line="276"/>
        <w:ind w:right="-15"/>
        <w:jc w:val="both"/>
        <w:rPr>
          <w:rFonts w:ascii="Times New Roman" w:hAnsi="Times New Roman"/>
          <w:sz w:val="24"/>
        </w:rPr>
      </w:pPr>
      <w:r>
        <w:rPr>
          <w:rFonts w:ascii="Times New Roman" w:hAnsi="Times New Roman"/>
          <w:sz w:val="24"/>
        </w:rPr>
      </w:r>
    </w:p>
    <w:p>
      <w:pPr>
        <w:pStyle w:val="Heading1"/>
        <w:numPr>
          <w:ilvl w:val="0"/>
          <w:numId w:val="1"/>
        </w:numPr>
        <w:rPr>
          <w:rFonts w:ascii="Times New Roman" w:hAnsi="Times New Roman"/>
          <w:sz w:val="24"/>
        </w:rPr>
      </w:pPr>
      <w:bookmarkStart w:id="0" w:name="_Toc142925860"/>
      <w:r>
        <w:rPr>
          <w:rFonts w:ascii="Times New Roman" w:hAnsi="Times New Roman"/>
          <w:sz w:val="24"/>
        </w:rPr>
        <w:t>OBJETO DA CONTRATAÇÃO DIRETA</w:t>
      </w:r>
      <w:bookmarkEnd w:id="0"/>
    </w:p>
    <w:p>
      <w:pPr>
        <w:pStyle w:val="PADRO"/>
        <w:keepNext w:val="false"/>
        <w:widowControl/>
        <w:numPr>
          <w:ilvl w:val="1"/>
          <w:numId w:val="1"/>
        </w:numPr>
        <w:shd w:val="clear" w:fill="auto"/>
        <w:spacing w:before="120" w:after="120"/>
        <w:rPr>
          <w:rFonts w:ascii="Times New Roman" w:hAnsi="Times New Roman"/>
          <w:sz w:val="24"/>
        </w:rPr>
      </w:pPr>
      <w:r>
        <w:rPr>
          <w:rFonts w:cs="Arial" w:ascii="Times New Roman" w:hAnsi="Times New Roman"/>
          <w:color w:themeColor="dark1" w:val="000000"/>
          <w:sz w:val="24"/>
        </w:rPr>
        <w:t xml:space="preserve">O objeto do presente procedimento é a escolha da proposta mais vantajosa para a </w:t>
      </w:r>
      <w:r>
        <w:rPr>
          <w:rFonts w:cs="Arial" w:ascii="Times New Roman" w:hAnsi="Times New Roman"/>
          <w:sz w:val="24"/>
        </w:rPr>
        <w:t xml:space="preserve">contratação, </w:t>
      </w:r>
      <w:r>
        <w:rPr>
          <w:rFonts w:cs="Arial" w:ascii="Times New Roman" w:hAnsi="Times New Roman"/>
          <w:color w:themeColor="dark1" w:val="000000"/>
          <w:sz w:val="24"/>
        </w:rPr>
        <w:t xml:space="preserve">por dispensa de licitação, </w:t>
      </w:r>
      <w:r>
        <w:rPr>
          <w:rFonts w:cs="Arial" w:ascii="Times New Roman" w:hAnsi="Times New Roman"/>
          <w:b/>
          <w:bCs/>
          <w:color w:val="000000"/>
          <w:sz w:val="24"/>
          <w:szCs w:val="24"/>
          <w:shd w:fill="auto" w:val="clear"/>
        </w:rPr>
        <w:t>AQUISIÇÃO DE MATERIAL DE CONSTRUÇÃO, CONTRATAÇÃO DE SERVIÇO PARA CONFECÇÃO DE PLACA DE VEÍCULO E CONSERTO DE COMPRESSOR ODONTOLÓGICO</w:t>
      </w:r>
      <w:r>
        <w:rPr>
          <w:rFonts w:cs="Arial" w:ascii="Times New Roman" w:hAnsi="Times New Roman"/>
          <w:b/>
          <w:bCs/>
          <w:color w:themeColor="dark1" w:val="000000"/>
          <w:sz w:val="24"/>
          <w:shd w:fill="auto" w:val="clear"/>
        </w:rPr>
        <w:t>,</w:t>
      </w:r>
      <w:r>
        <w:rPr>
          <w:rFonts w:cs="Arial" w:ascii="Times New Roman" w:hAnsi="Times New Roman"/>
          <w:color w:themeColor="dark1" w:val="000000"/>
          <w:sz w:val="24"/>
          <w:shd w:fill="auto" w:val="clear"/>
        </w:rPr>
        <w:t xml:space="preserve"> </w:t>
      </w:r>
      <w:r>
        <w:rPr>
          <w:rFonts w:cs="Arial" w:ascii="Times New Roman" w:hAnsi="Times New Roman"/>
          <w:color w:themeColor="dark1" w:val="000000"/>
          <w:sz w:val="24"/>
        </w:rPr>
        <w:t>conforme condições, quantidades e exigências estabelecidas neste Aviso de Contratação Direta e seus anexos.</w:t>
      </w:r>
    </w:p>
    <w:p>
      <w:pPr>
        <w:pStyle w:val="PADRO"/>
        <w:keepNext w:val="false"/>
        <w:widowControl/>
        <w:numPr>
          <w:ilvl w:val="2"/>
          <w:numId w:val="1"/>
        </w:numPr>
        <w:shd w:val="clear" w:fill="auto"/>
        <w:spacing w:before="120" w:after="120"/>
        <w:rPr>
          <w:rFonts w:ascii="Times New Roman" w:hAnsi="Times New Roman"/>
          <w:sz w:val="24"/>
        </w:rPr>
      </w:pPr>
      <w:r>
        <w:rPr>
          <w:rFonts w:cs="Arial" w:ascii="Times New Roman" w:hAnsi="Times New Roman"/>
          <w:sz w:val="24"/>
        </w:rPr>
        <w:t>Havendo mais de um item, faculta-se ao fornecedor a participação em quantos forem de seu interesse.</w:t>
      </w:r>
    </w:p>
    <w:p>
      <w:pPr>
        <w:pStyle w:val="PADRO"/>
        <w:keepNext w:val="false"/>
        <w:widowControl/>
        <w:numPr>
          <w:ilvl w:val="1"/>
          <w:numId w:val="1"/>
        </w:numPr>
        <w:shd w:val="clear" w:fill="auto"/>
        <w:spacing w:before="120" w:after="120"/>
        <w:rPr>
          <w:rFonts w:ascii="Times New Roman" w:hAnsi="Times New Roman"/>
          <w:sz w:val="24"/>
        </w:rPr>
      </w:pPr>
      <w:r>
        <w:rPr>
          <w:rFonts w:cs="Arial" w:ascii="Times New Roman" w:hAnsi="Times New Roman"/>
          <w:sz w:val="24"/>
        </w:rPr>
        <w:t xml:space="preserve">O critério de julgamento adotado será o </w:t>
      </w:r>
      <w:r>
        <w:rPr>
          <w:rFonts w:cs="Arial" w:ascii="Times New Roman" w:hAnsi="Times New Roman"/>
          <w:color w:val="000000"/>
          <w:sz w:val="24"/>
        </w:rPr>
        <w:t>menor preço</w:t>
      </w:r>
      <w:r>
        <w:rPr>
          <w:rFonts w:cs="Arial" w:ascii="Times New Roman" w:hAnsi="Times New Roman"/>
          <w:i/>
          <w:iCs/>
          <w:color w:val="000000"/>
          <w:sz w:val="24"/>
        </w:rPr>
        <w:t>,</w:t>
      </w:r>
      <w:r>
        <w:rPr>
          <w:rFonts w:cs="Arial" w:ascii="Times New Roman" w:hAnsi="Times New Roman"/>
          <w:color w:val="000000"/>
          <w:sz w:val="24"/>
        </w:rPr>
        <w:t xml:space="preserve"> o</w:t>
      </w:r>
      <w:r>
        <w:rPr>
          <w:rFonts w:cs="Arial" w:ascii="Times New Roman" w:hAnsi="Times New Roman"/>
          <w:sz w:val="24"/>
        </w:rPr>
        <w:t>bservadas as exigências contidas neste Aviso de Contratação Direta e seus Anexos quanto às especificações do objeto.</w:t>
      </w:r>
    </w:p>
    <w:p>
      <w:pPr>
        <w:pStyle w:val="PADRO"/>
        <w:widowControl/>
        <w:shd w:val="clear" w:fill="auto"/>
        <w:spacing w:before="120" w:after="120"/>
        <w:rPr>
          <w:rFonts w:ascii="Times New Roman" w:hAnsi="Times New Roman"/>
          <w:sz w:val="24"/>
        </w:rPr>
      </w:pPr>
      <w:r>
        <w:rPr>
          <w:rFonts w:ascii="Times New Roman" w:hAnsi="Times New Roman"/>
          <w:sz w:val="24"/>
        </w:rPr>
      </w:r>
    </w:p>
    <w:p>
      <w:pPr>
        <w:pStyle w:val="PADRO"/>
        <w:widowControl/>
        <w:shd w:val="clear" w:fill="auto"/>
        <w:spacing w:before="120" w:after="120"/>
        <w:rPr>
          <w:rFonts w:ascii="Times New Roman" w:hAnsi="Times New Roman"/>
          <w:sz w:val="24"/>
        </w:rPr>
      </w:pPr>
      <w:r>
        <w:rPr>
          <w:rFonts w:ascii="Times New Roman" w:hAnsi="Times New Roman"/>
          <w:sz w:val="24"/>
        </w:rPr>
      </w:r>
    </w:p>
    <w:tbl>
      <w:tblPr>
        <w:tblW w:w="10381" w:type="dxa"/>
        <w:jc w:val="left"/>
        <w:tblInd w:w="-512" w:type="dxa"/>
        <w:tblLayout w:type="fixed"/>
        <w:tblCellMar>
          <w:top w:w="55" w:type="dxa"/>
          <w:left w:w="2" w:type="dxa"/>
          <w:bottom w:w="55" w:type="dxa"/>
          <w:right w:w="42" w:type="dxa"/>
        </w:tblCellMar>
      </w:tblPr>
      <w:tblGrid>
        <w:gridCol w:w="698"/>
        <w:gridCol w:w="3131"/>
        <w:gridCol w:w="1114"/>
        <w:gridCol w:w="960"/>
        <w:gridCol w:w="902"/>
        <w:gridCol w:w="1026"/>
        <w:gridCol w:w="1352"/>
        <w:gridCol w:w="1196"/>
      </w:tblGrid>
      <w:tr>
        <w:trPr>
          <w:trHeight w:val="915" w:hRule="atLeast"/>
        </w:trPr>
        <w:tc>
          <w:tcPr>
            <w:tcW w:w="698"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eastAsia="Times New Roman" w:cs="Arial" w:ascii="Times New Roman" w:hAnsi="Times New Roman"/>
                <w:b/>
                <w:color w:val="000000"/>
                <w:sz w:val="24"/>
                <w:szCs w:val="24"/>
              </w:rPr>
              <w:t>ITEM</w:t>
            </w:r>
          </w:p>
        </w:tc>
        <w:tc>
          <w:tcPr>
            <w:tcW w:w="3131"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OBJETO</w:t>
            </w:r>
          </w:p>
        </w:tc>
        <w:tc>
          <w:tcPr>
            <w:tcW w:w="1114"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CÓDIGO</w:t>
            </w:r>
          </w:p>
          <w:p>
            <w:pPr>
              <w:pStyle w:val="Normal"/>
              <w:widowControl w:val="false"/>
              <w:spacing w:lineRule="auto" w:line="240" w:before="0" w:after="0"/>
              <w:ind w:hanging="0" w:right="-1"/>
              <w:jc w:val="center"/>
              <w:rPr>
                <w:rFonts w:ascii="Times New Roman" w:hAnsi="Times New Roman"/>
                <w:sz w:val="24"/>
                <w:szCs w:val="24"/>
              </w:rPr>
            </w:pPr>
            <w:r>
              <w:rPr>
                <w:rFonts w:ascii="Times New Roman" w:hAnsi="Times New Roman"/>
                <w:b/>
                <w:sz w:val="24"/>
                <w:szCs w:val="24"/>
              </w:rPr>
              <w:t>CATMAT/CATSER</w:t>
            </w:r>
          </w:p>
        </w:tc>
        <w:tc>
          <w:tcPr>
            <w:tcW w:w="960"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UND</w:t>
            </w:r>
          </w:p>
        </w:tc>
        <w:tc>
          <w:tcPr>
            <w:tcW w:w="902"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QTD</w:t>
            </w:r>
          </w:p>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MÁX</w:t>
            </w:r>
          </w:p>
        </w:tc>
        <w:tc>
          <w:tcPr>
            <w:tcW w:w="1026"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QTD</w:t>
            </w:r>
          </w:p>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MÍN</w:t>
            </w:r>
          </w:p>
        </w:tc>
        <w:tc>
          <w:tcPr>
            <w:tcW w:w="1352" w:type="dxa"/>
            <w:tcBorders>
              <w:top w:val="single" w:sz="2" w:space="0" w:color="000001"/>
              <w:left w:val="single" w:sz="2" w:space="0" w:color="000001"/>
              <w:bottom w:val="single" w:sz="2" w:space="0" w:color="000001"/>
              <w:right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VALOR UNIT.</w:t>
            </w:r>
          </w:p>
        </w:tc>
        <w:tc>
          <w:tcPr>
            <w:tcW w:w="1196" w:type="dxa"/>
            <w:tcBorders>
              <w:top w:val="single" w:sz="2" w:space="0" w:color="000001"/>
              <w:left w:val="single" w:sz="2" w:space="0" w:color="000001"/>
              <w:bottom w:val="single" w:sz="2" w:space="0" w:color="000001"/>
              <w:right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VALOR TOTAL</w:t>
            </w:r>
          </w:p>
        </w:tc>
      </w:tr>
      <w:tr>
        <w:trPr>
          <w:trHeight w:val="648" w:hRule="atLeast"/>
        </w:trPr>
        <w:tc>
          <w:tcPr>
            <w:tcW w:w="698"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color w:val="000000"/>
                <w:sz w:val="24"/>
                <w:szCs w:val="24"/>
              </w:rPr>
              <w:t>01</w:t>
            </w:r>
          </w:p>
        </w:tc>
        <w:tc>
          <w:tcPr>
            <w:tcW w:w="3131" w:type="dxa"/>
            <w:tcBorders>
              <w:top w:val="single" w:sz="2" w:space="0" w:color="000001"/>
              <w:left w:val="single" w:sz="2" w:space="0" w:color="000001"/>
              <w:bottom w:val="single" w:sz="2" w:space="0" w:color="000001"/>
            </w:tcBorders>
            <w:vAlign w:val="center"/>
          </w:tcPr>
          <w:p>
            <w:pPr>
              <w:pStyle w:val="BodyText"/>
              <w:widowControl w:val="false"/>
              <w:spacing w:lineRule="auto" w:line="240" w:before="0" w:after="0"/>
              <w:jc w:val="both"/>
              <w:rPr/>
            </w:pPr>
            <w:r>
              <w:rPr>
                <w:rFonts w:ascii="Times New Roman" w:hAnsi="Times New Roman"/>
                <w:sz w:val="24"/>
                <w:szCs w:val="24"/>
              </w:rPr>
              <w:t>Arame farpado, material/; aço, bitola: 16 bwg, comprimento: 500 m, peso: 20,70 kg, diâmetro: 1,60 mm, carga de ruptura: 350kgf, tratamento superficial: galvanizado.</w:t>
            </w:r>
          </w:p>
        </w:tc>
        <w:tc>
          <w:tcPr>
            <w:tcW w:w="1114"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val="false"/>
                <w:bCs w:val="false"/>
                <w:sz w:val="24"/>
                <w:szCs w:val="24"/>
              </w:rPr>
              <w:t>233561</w:t>
            </w:r>
          </w:p>
        </w:tc>
        <w:tc>
          <w:tcPr>
            <w:tcW w:w="960" w:type="dxa"/>
            <w:tcBorders>
              <w:top w:val="single" w:sz="2" w:space="0" w:color="000001"/>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color w:val="000000"/>
                <w:sz w:val="24"/>
                <w:szCs w:val="24"/>
                <w:lang w:eastAsia="pt-BR"/>
              </w:rPr>
              <w:t>Rolo 500 m</w:t>
            </w:r>
          </w:p>
        </w:tc>
        <w:tc>
          <w:tcPr>
            <w:tcW w:w="902"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w:t>
            </w:r>
          </w:p>
        </w:tc>
        <w:tc>
          <w:tcPr>
            <w:tcW w:w="1026"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w:t>
            </w:r>
          </w:p>
        </w:tc>
        <w:tc>
          <w:tcPr>
            <w:tcW w:w="1352" w:type="dxa"/>
            <w:tcBorders>
              <w:top w:val="single" w:sz="2" w:space="0" w:color="000001"/>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rFonts w:ascii="Times New Roman" w:hAnsi="Times New Roman"/>
                <w:color w:val="000000"/>
                <w:sz w:val="24"/>
                <w:szCs w:val="24"/>
              </w:rPr>
              <w:t>426,79</w:t>
            </w:r>
          </w:p>
        </w:tc>
        <w:tc>
          <w:tcPr>
            <w:tcW w:w="1196" w:type="dxa"/>
            <w:tcBorders>
              <w:top w:val="single" w:sz="2" w:space="0" w:color="000001"/>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=E2*G2</w:instrText>
            </w:r>
            <w:r>
              <w:rPr/>
              <w:fldChar w:fldCharType="separate"/>
            </w:r>
            <w:r>
              <w:rPr/>
              <w:t>426,79</w:t>
            </w:r>
            <w:r>
              <w:rPr/>
              <w:fldChar w:fldCharType="end"/>
            </w:r>
          </w:p>
        </w:tc>
      </w:tr>
      <w:tr>
        <w:trPr>
          <w:trHeight w:val="648" w:hRule="atLeast"/>
        </w:trPr>
        <w:tc>
          <w:tcPr>
            <w:tcW w:w="698"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02</w:t>
            </w:r>
          </w:p>
        </w:tc>
        <w:tc>
          <w:tcPr>
            <w:tcW w:w="3131" w:type="dxa"/>
            <w:tcBorders>
              <w:left w:val="single" w:sz="2" w:space="0" w:color="000001"/>
              <w:bottom w:val="single" w:sz="2" w:space="0" w:color="000001"/>
            </w:tcBorders>
            <w:vAlign w:val="center"/>
          </w:tcPr>
          <w:p>
            <w:pPr>
              <w:pStyle w:val="BodyText"/>
              <w:widowControl w:val="false"/>
              <w:spacing w:lineRule="auto" w:line="240" w:before="0" w:after="0"/>
              <w:jc w:val="both"/>
              <w:rPr/>
            </w:pPr>
            <w:r>
              <w:rPr/>
              <w:t>Arame, material: cobre recozido, bitola: 1,47 mm</w:t>
            </w:r>
          </w:p>
        </w:tc>
        <w:tc>
          <w:tcPr>
            <w:tcW w:w="1114"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310137</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Kg</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14</w:t>
            </w:r>
          </w:p>
        </w:tc>
        <w:tc>
          <w:tcPr>
            <w:tcW w:w="1026"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w:t>
            </w:r>
          </w:p>
        </w:tc>
        <w:tc>
          <w:tcPr>
            <w:tcW w:w="1352"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22,33</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=E3*G3</w:instrText>
            </w:r>
            <w:r>
              <w:rPr/>
              <w:fldChar w:fldCharType="separate"/>
            </w:r>
            <w:r>
              <w:rPr/>
              <w:t>312,62</w:t>
            </w:r>
            <w:r>
              <w:rPr/>
              <w:fldChar w:fldCharType="end"/>
            </w:r>
          </w:p>
        </w:tc>
      </w:tr>
      <w:tr>
        <w:trPr>
          <w:trHeight w:val="648" w:hRule="atLeast"/>
        </w:trPr>
        <w:tc>
          <w:tcPr>
            <w:tcW w:w="698"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03</w:t>
            </w:r>
          </w:p>
        </w:tc>
        <w:tc>
          <w:tcPr>
            <w:tcW w:w="3131" w:type="dxa"/>
            <w:tcBorders>
              <w:left w:val="single" w:sz="2" w:space="0" w:color="000001"/>
              <w:bottom w:val="single" w:sz="2" w:space="0" w:color="000001"/>
            </w:tcBorders>
            <w:vAlign w:val="center"/>
          </w:tcPr>
          <w:p>
            <w:pPr>
              <w:pStyle w:val="BodyText"/>
              <w:widowControl w:val="false"/>
              <w:spacing w:lineRule="auto" w:line="240" w:before="0" w:after="0"/>
              <w:jc w:val="both"/>
              <w:rPr/>
            </w:pPr>
            <w:r>
              <w:rPr/>
              <w:t>Eletrodo solda, material indicado; aço inoxidável, forma: vareta, tipo corrente: alternada direta, diâmetro: 2 mm, comprimento: 300mm, características adicionais: manganês, cromo, niquel e molibdênio.</w:t>
            </w:r>
          </w:p>
        </w:tc>
        <w:tc>
          <w:tcPr>
            <w:tcW w:w="1114"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484437</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Kg</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3</w:t>
            </w:r>
          </w:p>
        </w:tc>
        <w:tc>
          <w:tcPr>
            <w:tcW w:w="1026"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w:t>
            </w:r>
          </w:p>
        </w:tc>
        <w:tc>
          <w:tcPr>
            <w:tcW w:w="1352"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61,38</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=E4*G4</w:instrText>
            </w:r>
            <w:r>
              <w:rPr/>
              <w:fldChar w:fldCharType="separate"/>
            </w:r>
            <w:r>
              <w:rPr/>
              <w:t>184,14</w:t>
            </w:r>
            <w:r>
              <w:rPr/>
              <w:fldChar w:fldCharType="end"/>
            </w:r>
          </w:p>
        </w:tc>
      </w:tr>
      <w:tr>
        <w:trPr>
          <w:trHeight w:val="648" w:hRule="atLeast"/>
        </w:trPr>
        <w:tc>
          <w:tcPr>
            <w:tcW w:w="698"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04</w:t>
            </w:r>
          </w:p>
        </w:tc>
        <w:tc>
          <w:tcPr>
            <w:tcW w:w="3131" w:type="dxa"/>
            <w:tcBorders>
              <w:left w:val="single" w:sz="2" w:space="0" w:color="000001"/>
              <w:bottom w:val="single" w:sz="2" w:space="0" w:color="000001"/>
            </w:tcBorders>
            <w:vAlign w:val="center"/>
          </w:tcPr>
          <w:p>
            <w:pPr>
              <w:pStyle w:val="BodyText"/>
              <w:widowControl w:val="false"/>
              <w:spacing w:lineRule="auto" w:line="240" w:before="0" w:after="0"/>
              <w:jc w:val="both"/>
              <w:rPr/>
            </w:pPr>
            <w:r>
              <w:rPr/>
              <w:t>Tinta acrílica, componente: água, resina acrílica pigmentos orgânicos e inorgânico, aspectos físico: líquido viscoso colorido, cor: azul, prazo de validade: 24 meses, aplicação: pisos em geral.</w:t>
            </w:r>
          </w:p>
        </w:tc>
        <w:tc>
          <w:tcPr>
            <w:tcW w:w="1114"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301781</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Lata 18 l</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w:t>
            </w:r>
          </w:p>
        </w:tc>
        <w:tc>
          <w:tcPr>
            <w:tcW w:w="1026"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w:t>
            </w:r>
          </w:p>
        </w:tc>
        <w:tc>
          <w:tcPr>
            <w:tcW w:w="1352"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181,64</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=E5*G5</w:instrText>
            </w:r>
            <w:r>
              <w:rPr/>
              <w:fldChar w:fldCharType="separate"/>
            </w:r>
            <w:r>
              <w:rPr/>
              <w:t>363,28</w:t>
            </w:r>
            <w:r>
              <w:rPr/>
              <w:fldChar w:fldCharType="end"/>
            </w:r>
          </w:p>
        </w:tc>
      </w:tr>
      <w:tr>
        <w:trPr>
          <w:trHeight w:val="648" w:hRule="atLeast"/>
        </w:trPr>
        <w:tc>
          <w:tcPr>
            <w:tcW w:w="698"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05</w:t>
            </w:r>
          </w:p>
        </w:tc>
        <w:tc>
          <w:tcPr>
            <w:tcW w:w="3131" w:type="dxa"/>
            <w:tcBorders>
              <w:left w:val="single" w:sz="2" w:space="0" w:color="000001"/>
              <w:bottom w:val="single" w:sz="2" w:space="0" w:color="000001"/>
            </w:tcBorders>
            <w:vAlign w:val="center"/>
          </w:tcPr>
          <w:p>
            <w:pPr>
              <w:pStyle w:val="BodyText"/>
              <w:widowControl w:val="false"/>
              <w:spacing w:lineRule="auto" w:line="240" w:before="0" w:after="0"/>
              <w:jc w:val="both"/>
              <w:rPr/>
            </w:pPr>
            <w:r>
              <w:rPr/>
              <w:t>Tinta acrílica, componente: água, resina acrílica pigmentos orgânicos e inorgânico, aspectos físico: líquido viscoso colorido, cor: vermelha, prazo de validade: 36 meses, aplicação: pisos em geral.</w:t>
            </w:r>
          </w:p>
        </w:tc>
        <w:tc>
          <w:tcPr>
            <w:tcW w:w="1114"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235811</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Lata 18 l</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w:t>
            </w:r>
          </w:p>
        </w:tc>
        <w:tc>
          <w:tcPr>
            <w:tcW w:w="1026"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w:t>
            </w:r>
          </w:p>
        </w:tc>
        <w:tc>
          <w:tcPr>
            <w:tcW w:w="1352"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186,53</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=E6*G6</w:instrText>
            </w:r>
            <w:r>
              <w:rPr/>
              <w:fldChar w:fldCharType="separate"/>
            </w:r>
            <w:r>
              <w:rPr/>
              <w:t>373,06</w:t>
            </w:r>
            <w:r>
              <w:rPr/>
              <w:fldChar w:fldCharType="end"/>
            </w:r>
          </w:p>
        </w:tc>
      </w:tr>
      <w:tr>
        <w:trPr>
          <w:trHeight w:val="648" w:hRule="atLeast"/>
        </w:trPr>
        <w:tc>
          <w:tcPr>
            <w:tcW w:w="698"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06</w:t>
            </w:r>
          </w:p>
        </w:tc>
        <w:tc>
          <w:tcPr>
            <w:tcW w:w="3131" w:type="dxa"/>
            <w:tcBorders>
              <w:left w:val="single" w:sz="2" w:space="0" w:color="000001"/>
              <w:bottom w:val="single" w:sz="2" w:space="0" w:color="000001"/>
            </w:tcBorders>
            <w:vAlign w:val="center"/>
          </w:tcPr>
          <w:p>
            <w:pPr>
              <w:pStyle w:val="BodyText"/>
              <w:widowControl w:val="false"/>
              <w:spacing w:lineRule="auto" w:line="240" w:before="0" w:after="0"/>
              <w:jc w:val="both"/>
              <w:rPr/>
            </w:pPr>
            <w:r>
              <w:rPr/>
              <w:t>Tomada, formato contato: 3 p + t, corrente nominal: 32 a, tensão nominal: 380/440 v, características adicionais: com sistema de encaixe na tampa, aplicação: industrial, referência: steck – n4206</w:t>
            </w:r>
          </w:p>
        </w:tc>
        <w:tc>
          <w:tcPr>
            <w:tcW w:w="1114"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486019</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Und</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4</w:t>
            </w:r>
          </w:p>
        </w:tc>
        <w:tc>
          <w:tcPr>
            <w:tcW w:w="1026"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w:t>
            </w:r>
          </w:p>
        </w:tc>
        <w:tc>
          <w:tcPr>
            <w:tcW w:w="1352"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123,05</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=E7*G7</w:instrText>
            </w:r>
            <w:r>
              <w:rPr/>
              <w:fldChar w:fldCharType="separate"/>
            </w:r>
            <w:r>
              <w:rPr/>
              <w:t>492,2</w:t>
            </w:r>
            <w:r>
              <w:rPr/>
              <w:fldChar w:fldCharType="end"/>
            </w:r>
          </w:p>
        </w:tc>
      </w:tr>
      <w:tr>
        <w:trPr>
          <w:trHeight w:val="648" w:hRule="atLeast"/>
        </w:trPr>
        <w:tc>
          <w:tcPr>
            <w:tcW w:w="698"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07</w:t>
            </w:r>
          </w:p>
        </w:tc>
        <w:tc>
          <w:tcPr>
            <w:tcW w:w="3131" w:type="dxa"/>
            <w:tcBorders>
              <w:left w:val="single" w:sz="2" w:space="0" w:color="000001"/>
              <w:bottom w:val="single" w:sz="2" w:space="0" w:color="000001"/>
            </w:tcBorders>
            <w:vAlign w:val="center"/>
          </w:tcPr>
          <w:p>
            <w:pPr>
              <w:pStyle w:val="BodyText"/>
              <w:widowControl w:val="false"/>
              <w:spacing w:lineRule="auto" w:line="240" w:before="0" w:after="0"/>
              <w:jc w:val="both"/>
              <w:rPr/>
            </w:pPr>
            <w:r>
              <w:rPr/>
              <w:t>Conexão hidráulica, material: pvc – cloreto de polivinila, tipo: adaptador curto, tipo fixação: soldável e roscável, aplicação: registro, bitola ii: 25mm x ¾ pol.</w:t>
            </w:r>
          </w:p>
        </w:tc>
        <w:tc>
          <w:tcPr>
            <w:tcW w:w="1114"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373932</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Und</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120</w:t>
            </w:r>
          </w:p>
        </w:tc>
        <w:tc>
          <w:tcPr>
            <w:tcW w:w="1026"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10</w:t>
            </w:r>
          </w:p>
        </w:tc>
        <w:tc>
          <w:tcPr>
            <w:tcW w:w="1352"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0,97</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=E8*G8</w:instrText>
            </w:r>
            <w:r>
              <w:rPr/>
              <w:fldChar w:fldCharType="separate"/>
            </w:r>
            <w:r>
              <w:rPr/>
              <w:t>116,4</w:t>
            </w:r>
            <w:r>
              <w:rPr/>
              <w:fldChar w:fldCharType="end"/>
            </w:r>
          </w:p>
        </w:tc>
      </w:tr>
      <w:tr>
        <w:trPr>
          <w:trHeight w:val="648" w:hRule="atLeast"/>
        </w:trPr>
        <w:tc>
          <w:tcPr>
            <w:tcW w:w="698"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08</w:t>
            </w:r>
          </w:p>
        </w:tc>
        <w:tc>
          <w:tcPr>
            <w:tcW w:w="3131" w:type="dxa"/>
            <w:tcBorders>
              <w:left w:val="single" w:sz="2" w:space="0" w:color="000001"/>
              <w:bottom w:val="single" w:sz="2" w:space="0" w:color="000001"/>
            </w:tcBorders>
            <w:vAlign w:val="center"/>
          </w:tcPr>
          <w:p>
            <w:pPr>
              <w:pStyle w:val="BodyText"/>
              <w:widowControl w:val="false"/>
              <w:spacing w:lineRule="auto" w:line="240" w:before="0" w:after="0"/>
              <w:jc w:val="both"/>
              <w:rPr/>
            </w:pPr>
            <w:r>
              <w:rPr/>
              <w:t>Registro pressão, material bronze fundido, diâmetro: ¾ pol, tipo: manual, características adicionais: castelo com rosca para fixação de acabamento.</w:t>
            </w:r>
          </w:p>
        </w:tc>
        <w:tc>
          <w:tcPr>
            <w:tcW w:w="1114"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233458</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Und</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15</w:t>
            </w:r>
          </w:p>
        </w:tc>
        <w:tc>
          <w:tcPr>
            <w:tcW w:w="1026"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5</w:t>
            </w:r>
          </w:p>
        </w:tc>
        <w:tc>
          <w:tcPr>
            <w:tcW w:w="1352"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30,78</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=E9*G9</w:instrText>
            </w:r>
            <w:r>
              <w:rPr/>
              <w:fldChar w:fldCharType="separate"/>
            </w:r>
            <w:r>
              <w:rPr/>
              <w:t>461,7</w:t>
            </w:r>
            <w:r>
              <w:rPr/>
              <w:fldChar w:fldCharType="end"/>
            </w:r>
          </w:p>
        </w:tc>
      </w:tr>
      <w:tr>
        <w:trPr>
          <w:trHeight w:val="648" w:hRule="atLeast"/>
        </w:trPr>
        <w:tc>
          <w:tcPr>
            <w:tcW w:w="698"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09</w:t>
            </w:r>
          </w:p>
        </w:tc>
        <w:tc>
          <w:tcPr>
            <w:tcW w:w="3131" w:type="dxa"/>
            <w:tcBorders>
              <w:left w:val="single" w:sz="2" w:space="0" w:color="000001"/>
              <w:bottom w:val="single" w:sz="2" w:space="0" w:color="000001"/>
            </w:tcBorders>
            <w:vAlign w:val="center"/>
          </w:tcPr>
          <w:p>
            <w:pPr>
              <w:pStyle w:val="BodyText"/>
              <w:widowControl w:val="false"/>
              <w:spacing w:before="0" w:after="120"/>
              <w:jc w:val="both"/>
              <w:rPr>
                <w:rFonts w:ascii="Times New Roman" w:hAnsi="Times New Roman"/>
                <w:sz w:val="18"/>
                <w:szCs w:val="18"/>
              </w:rPr>
            </w:pPr>
            <w:r>
              <w:rPr>
                <w:rFonts w:ascii="Times New Roman" w:hAnsi="Times New Roman"/>
                <w:sz w:val="18"/>
                <w:szCs w:val="18"/>
              </w:rPr>
              <w:t>Trânsito-Registro / Emplacamento de Veículos (Renault Logan),  (Nissan Versa).</w:t>
            </w:r>
          </w:p>
        </w:tc>
        <w:tc>
          <w:tcPr>
            <w:tcW w:w="1114"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18279</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UND</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w:t>
            </w:r>
          </w:p>
        </w:tc>
        <w:tc>
          <w:tcPr>
            <w:tcW w:w="1026"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w:t>
            </w:r>
          </w:p>
        </w:tc>
        <w:tc>
          <w:tcPr>
            <w:tcW w:w="1352"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800,00</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=G10*2</w:instrText>
            </w:r>
            <w:r>
              <w:rPr/>
              <w:fldChar w:fldCharType="separate"/>
            </w:r>
            <w:r>
              <w:rPr/>
              <w:t>1600</w:t>
            </w:r>
            <w:r>
              <w:rPr/>
              <w:fldChar w:fldCharType="end"/>
            </w:r>
          </w:p>
        </w:tc>
      </w:tr>
      <w:tr>
        <w:trPr>
          <w:trHeight w:val="648" w:hRule="atLeast"/>
        </w:trPr>
        <w:tc>
          <w:tcPr>
            <w:tcW w:w="698"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w:t>
            </w:r>
          </w:p>
        </w:tc>
        <w:tc>
          <w:tcPr>
            <w:tcW w:w="3131" w:type="dxa"/>
            <w:tcBorders>
              <w:left w:val="single" w:sz="2" w:space="0" w:color="000001"/>
              <w:bottom w:val="single" w:sz="2" w:space="0" w:color="000001"/>
            </w:tcBorders>
            <w:vAlign w:val="center"/>
          </w:tcPr>
          <w:p>
            <w:pPr>
              <w:pStyle w:val="BodyText"/>
              <w:widowControl w:val="false"/>
              <w:spacing w:lineRule="auto" w:line="240" w:before="0" w:after="0"/>
              <w:jc w:val="both"/>
              <w:rPr/>
            </w:pPr>
            <w:r>
              <w:rPr/>
              <w:t>Manutenção de compressor odontológico</w:t>
            </w:r>
          </w:p>
        </w:tc>
        <w:tc>
          <w:tcPr>
            <w:tcW w:w="1114"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2313</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UND</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w:t>
            </w:r>
          </w:p>
        </w:tc>
        <w:tc>
          <w:tcPr>
            <w:tcW w:w="1026"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w:t>
            </w:r>
          </w:p>
        </w:tc>
        <w:tc>
          <w:tcPr>
            <w:tcW w:w="1352"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1742,50</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=G11*2</w:instrText>
            </w:r>
            <w:r>
              <w:rPr/>
              <w:fldChar w:fldCharType="separate"/>
            </w:r>
            <w:r>
              <w:rPr/>
              <w:t>3485</w:t>
            </w:r>
            <w:r>
              <w:rPr/>
              <w:fldChar w:fldCharType="end"/>
            </w:r>
          </w:p>
        </w:tc>
      </w:tr>
      <w:tr>
        <w:trPr>
          <w:trHeight w:val="648" w:hRule="atLeast"/>
        </w:trPr>
        <w:tc>
          <w:tcPr>
            <w:tcW w:w="7831" w:type="dxa"/>
            <w:gridSpan w:val="6"/>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TOTAL</w:t>
            </w:r>
          </w:p>
        </w:tc>
        <w:tc>
          <w:tcPr>
            <w:tcW w:w="2548" w:type="dxa"/>
            <w:gridSpan w:val="2"/>
            <w:tcBorders>
              <w:left w:val="single" w:sz="2" w:space="0" w:color="000001"/>
              <w:bottom w:val="single" w:sz="2" w:space="0" w:color="000001"/>
              <w:right w:val="single" w:sz="2" w:space="0" w:color="000001"/>
            </w:tcBorders>
            <w:vAlign w:val="center"/>
          </w:tcPr>
          <w:p>
            <w:pPr>
              <w:pStyle w:val="Normal"/>
              <w:jc w:val="center"/>
              <w:rPr/>
            </w:pPr>
            <w:r>
              <w:rPr/>
              <w:fldChar w:fldCharType="begin"/>
            </w:r>
            <w:r>
              <w:rPr/>
              <w:instrText xml:space="preserve"> =H2:H11</w:instrText>
            </w:r>
            <w:r>
              <w:rPr/>
              <w:fldChar w:fldCharType="separate"/>
            </w:r>
            <w:r>
              <w:rPr/>
              <w:t>7815,19</w:t>
            </w:r>
            <w:r>
              <w:rPr/>
              <w:fldChar w:fldCharType="end"/>
            </w:r>
          </w:p>
        </w:tc>
      </w:tr>
    </w:tbl>
    <w:p>
      <w:pPr>
        <w:pStyle w:val="Normal"/>
        <w:widowControl/>
        <w:spacing w:before="120" w:after="120"/>
        <w:ind w:hanging="0"/>
        <w:rPr/>
      </w:pPr>
      <w:r>
        <w:rPr/>
      </w:r>
    </w:p>
    <w:p>
      <w:pPr>
        <w:pStyle w:val="Heading1"/>
        <w:numPr>
          <w:ilvl w:val="0"/>
          <w:numId w:val="0"/>
        </w:numPr>
        <w:spacing w:before="0" w:after="120"/>
        <w:ind w:hanging="0" w:left="360"/>
        <w:rPr>
          <w:rFonts w:ascii="Times New Roman" w:hAnsi="Times New Roman"/>
          <w:sz w:val="24"/>
        </w:rPr>
      </w:pPr>
      <w:r>
        <w:rPr>
          <w:rFonts w:ascii="Times New Roman" w:hAnsi="Times New Roman"/>
          <w:sz w:val="24"/>
        </w:rPr>
      </w:r>
    </w:p>
    <w:p>
      <w:pPr>
        <w:pStyle w:val="Heading1"/>
        <w:numPr>
          <w:ilvl w:val="0"/>
          <w:numId w:val="0"/>
        </w:numPr>
        <w:spacing w:before="0" w:after="120"/>
        <w:ind w:hanging="0" w:left="360"/>
        <w:rPr>
          <w:rFonts w:ascii="Times New Roman" w:hAnsi="Times New Roman"/>
          <w:sz w:val="24"/>
        </w:rPr>
      </w:pPr>
      <w:r>
        <w:rPr>
          <w:rFonts w:ascii="Times New Roman" w:hAnsi="Times New Roman"/>
          <w:sz w:val="24"/>
        </w:rPr>
      </w:r>
    </w:p>
    <w:p>
      <w:pPr>
        <w:pStyle w:val="Heading1"/>
        <w:numPr>
          <w:ilvl w:val="0"/>
          <w:numId w:val="1"/>
        </w:numPr>
        <w:spacing w:before="0" w:after="120"/>
        <w:rPr>
          <w:rFonts w:ascii="Times New Roman" w:hAnsi="Times New Roman"/>
          <w:sz w:val="24"/>
        </w:rPr>
      </w:pPr>
      <w:r>
        <w:rPr>
          <w:rFonts w:ascii="Times New Roman" w:hAnsi="Times New Roman"/>
          <w:sz w:val="24"/>
        </w:rPr>
        <w:t>PARTICIPAÇÃO NA DISPENSA ELETRÔNICA.</w:t>
      </w:r>
    </w:p>
    <w:p>
      <w:pPr>
        <w:pStyle w:val="Normal"/>
        <w:numPr>
          <w:ilvl w:val="1"/>
          <w:numId w:val="1"/>
        </w:numPr>
        <w:spacing w:lineRule="auto" w:line="276" w:before="120" w:after="120"/>
        <w:ind w:hanging="0" w:left="425"/>
        <w:jc w:val="both"/>
        <w:rPr/>
      </w:pPr>
      <w:r>
        <w:rPr>
          <w:rFonts w:cs="Arial" w:ascii="Times New Roman" w:hAnsi="Times New Roman"/>
          <w:sz w:val="24"/>
        </w:rPr>
        <w:t xml:space="preserve">A </w:t>
      </w:r>
      <w:r>
        <w:rPr>
          <w:rFonts w:cs="Arial" w:ascii="Times New Roman" w:hAnsi="Times New Roman"/>
          <w:color w:themeColor="dark1" w:val="000000"/>
          <w:sz w:val="24"/>
        </w:rPr>
        <w:t>participação</w:t>
      </w:r>
      <w:r>
        <w:rPr>
          <w:rFonts w:cs="Arial" w:ascii="Times New Roman" w:hAnsi="Times New Roman"/>
          <w:sz w:val="24"/>
        </w:rPr>
        <w:t xml:space="preserve"> na presente dispensa eletrônica ocorrerá por meio do </w:t>
      </w:r>
      <w:r>
        <w:rPr>
          <w:rFonts w:cs="Arial" w:ascii="Times New Roman" w:hAnsi="Times New Roman"/>
          <w:bCs/>
          <w:sz w:val="24"/>
        </w:rPr>
        <w:t>Sistema de Dispensa Eletrônica, ferramenta informatizada</w:t>
      </w:r>
      <w:r>
        <w:rPr>
          <w:rFonts w:cs="Arial" w:ascii="Times New Roman" w:hAnsi="Times New Roman"/>
          <w:sz w:val="24"/>
        </w:rPr>
        <w:t xml:space="preserve"> integrante do Sistema de Compras do Governo Federal – Compras.gov.br, disponível no </w:t>
      </w:r>
      <w:r>
        <w:rPr>
          <w:rFonts w:cs="Arial" w:ascii="Times New Roman" w:hAnsi="Times New Roman"/>
          <w:bCs/>
          <w:sz w:val="24"/>
        </w:rPr>
        <w:t xml:space="preserve">Portal de Compras do Governo Federal, no endereço eletrônico </w:t>
      </w:r>
      <w:hyperlink r:id="rId6">
        <w:r>
          <w:rPr>
            <w:rStyle w:val="Hyperlink"/>
            <w:rFonts w:cs="Arial" w:ascii="Times New Roman" w:hAnsi="Times New Roman"/>
            <w:bCs/>
            <w:sz w:val="24"/>
          </w:rPr>
          <w:t>www.gov.br/compras</w:t>
        </w:r>
      </w:hyperlink>
      <w:r>
        <w:rPr>
          <w:rFonts w:cs="Arial" w:ascii="Times New Roman" w:hAnsi="Times New Roman"/>
          <w:bCs/>
          <w:sz w:val="24"/>
        </w:rPr>
        <w:t>.</w:t>
      </w:r>
      <w:r>
        <w:rPr>
          <w:rFonts w:cs="Arial" w:ascii="Times New Roman" w:hAnsi="Times New Roman"/>
          <w:sz w:val="24"/>
        </w:rPr>
        <w:t xml:space="preserve"> </w:t>
      </w:r>
    </w:p>
    <w:p>
      <w:pPr>
        <w:pStyle w:val="Normal"/>
        <w:numPr>
          <w:ilvl w:val="2"/>
          <w:numId w:val="1"/>
        </w:numPr>
        <w:spacing w:lineRule="auto" w:line="276" w:before="120" w:after="120"/>
        <w:jc w:val="both"/>
        <w:rPr/>
      </w:pPr>
      <w:r>
        <w:rPr>
          <w:rFonts w:cs="Arial" w:ascii="Times New Roman" w:hAnsi="Times New Roman"/>
          <w:sz w:val="24"/>
        </w:rPr>
        <w:t xml:space="preserve">O procedimento será divulgado no Compras.gov.br e no </w:t>
      </w:r>
      <w:hyperlink r:id="rId7">
        <w:r>
          <w:rPr>
            <w:rStyle w:val="Hyperlink"/>
            <w:rFonts w:cs="Arial" w:ascii="Times New Roman" w:hAnsi="Times New Roman"/>
            <w:sz w:val="24"/>
          </w:rPr>
          <w:t>Portal Nacional de Contratações Públicas - PNCP</w:t>
        </w:r>
      </w:hyperlink>
      <w:r>
        <w:rPr>
          <w:rFonts w:cs="Arial" w:ascii="Times New Roman" w:hAnsi="Times New Roman"/>
          <w:sz w:val="24"/>
        </w:rPr>
        <w:t>, e encaminhado automaticamente aos fornecedores registrados no Sistema de Registro Cadastral Unificado -Sicaf, por mensagem eletrônica, na correspondente linha de fornecimento que pretende atender.</w:t>
      </w:r>
    </w:p>
    <w:p>
      <w:pPr>
        <w:pStyle w:val="Normal"/>
        <w:numPr>
          <w:ilvl w:val="2"/>
          <w:numId w:val="1"/>
        </w:numPr>
        <w:spacing w:lineRule="auto" w:line="276" w:before="120" w:after="120"/>
        <w:jc w:val="both"/>
        <w:rPr/>
      </w:pPr>
      <w:r>
        <w:rPr>
          <w:rFonts w:cs="Arial" w:ascii="Times New Roman" w:hAnsi="Times New Roman"/>
          <w:sz w:val="24"/>
        </w:rPr>
        <w:t xml:space="preserve">O Compras.gov.br poderá ser acessado pela web ou pelo </w:t>
      </w:r>
      <w:hyperlink r:id="rId8">
        <w:r>
          <w:rPr>
            <w:rStyle w:val="Hyperlink"/>
            <w:rFonts w:cs="Arial" w:ascii="Times New Roman" w:hAnsi="Times New Roman"/>
            <w:sz w:val="24"/>
          </w:rPr>
          <w:t>aplicativo Compras.gov.br.</w:t>
        </w:r>
      </w:hyperlink>
    </w:p>
    <w:p>
      <w:pPr>
        <w:pStyle w:val="Normal"/>
        <w:numPr>
          <w:ilvl w:val="2"/>
          <w:numId w:val="1"/>
        </w:numPr>
        <w:snapToGrid w:val="false"/>
        <w:spacing w:lineRule="auto" w:line="276" w:before="120" w:after="120"/>
        <w:jc w:val="both"/>
        <w:rPr>
          <w:rFonts w:ascii="Times New Roman" w:hAnsi="Times New Roman"/>
          <w:sz w:val="24"/>
        </w:rPr>
      </w:pPr>
      <w:r>
        <w:rPr>
          <w:rFonts w:cs="Arial" w:ascii="Times New Roman" w:hAnsi="Times New Roman"/>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jc w:val="both"/>
        <w:rPr>
          <w:rFonts w:ascii="Times New Roman" w:hAnsi="Times New Roman"/>
          <w:color w:val="000000"/>
          <w:sz w:val="24"/>
        </w:rPr>
      </w:pPr>
      <w:r>
        <w:rPr>
          <w:rFonts w:cs="Arial" w:ascii="Times New Roman" w:hAnsi="Times New Roman"/>
          <w:color w:val="000000"/>
          <w:sz w:val="24"/>
        </w:rPr>
        <w:t>Para todos os itens, a participação é exclusiva a microempresas e empresas de pequeno porte, nos termos do art. 49, inciso IV, c/c o art. 48, inciso I, da Lei Complementar nº 123, de 14 de dezembro de 2006.</w:t>
      </w:r>
    </w:p>
    <w:p>
      <w:pPr>
        <w:pStyle w:val="Normal"/>
        <w:numPr>
          <w:ilvl w:val="2"/>
          <w:numId w:val="1"/>
        </w:numPr>
        <w:snapToGrid w:val="false"/>
        <w:spacing w:lineRule="auto" w:line="276" w:before="120" w:after="120"/>
        <w:jc w:val="both"/>
        <w:rPr>
          <w:rFonts w:ascii="Times New Roman" w:hAnsi="Times New Roman"/>
          <w:color w:val="000000"/>
          <w:sz w:val="24"/>
        </w:rPr>
      </w:pPr>
      <w:r>
        <w:rPr>
          <w:rFonts w:cs="Arial" w:ascii="Times New Roman" w:hAnsi="Times New Roman"/>
          <w:color w:val="000000"/>
          <w:sz w:val="24"/>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pPr>
        <w:pStyle w:val="Normal"/>
        <w:numPr>
          <w:ilvl w:val="2"/>
          <w:numId w:val="1"/>
        </w:numPr>
        <w:snapToGrid w:val="false"/>
        <w:spacing w:lineRule="auto" w:line="276" w:before="120" w:after="120"/>
        <w:jc w:val="both"/>
        <w:rPr>
          <w:rFonts w:ascii="Times New Roman" w:hAnsi="Times New Roman"/>
          <w:color w:val="000000"/>
          <w:sz w:val="24"/>
        </w:rPr>
      </w:pPr>
      <w:r>
        <w:rPr>
          <w:rFonts w:cs="Arial" w:ascii="Times New Roman" w:hAnsi="Times New Roman"/>
          <w:color w:val="000000"/>
          <w:sz w:val="24"/>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120" w:after="120"/>
        <w:jc w:val="both"/>
        <w:rPr>
          <w:rFonts w:ascii="Times New Roman" w:hAnsi="Times New Roman" w:cs="Arial"/>
          <w:color w:themeColor="dark1" w:val="000000"/>
          <w:sz w:val="24"/>
        </w:rPr>
      </w:pPr>
      <w:r>
        <w:rPr>
          <w:rFonts w:cs="Arial" w:ascii="Times New Roman" w:hAnsi="Times New Roman"/>
          <w:color w:themeColor="dark1" w:val="000000"/>
          <w:sz w:val="24"/>
        </w:rPr>
      </w:r>
    </w:p>
    <w:p>
      <w:pPr>
        <w:pStyle w:val="Normal"/>
        <w:numPr>
          <w:ilvl w:val="1"/>
          <w:numId w:val="1"/>
        </w:numPr>
        <w:spacing w:lineRule="auto" w:line="276" w:before="120" w:after="120"/>
        <w:ind w:hanging="0" w:left="425"/>
        <w:jc w:val="both"/>
        <w:rPr>
          <w:rFonts w:ascii="Times New Roman" w:hAnsi="Times New Roman"/>
          <w:sz w:val="24"/>
        </w:rPr>
      </w:pPr>
      <w:bookmarkStart w:id="1" w:name="_Ref144286315"/>
      <w:r>
        <w:rPr>
          <w:rFonts w:cs="Arial" w:ascii="Times New Roman" w:hAnsi="Times New Roman"/>
          <w:color w:themeColor="dark1" w:val="000000"/>
          <w:sz w:val="24"/>
        </w:rPr>
        <w:t>Não poderão participar desta dispensa de licitação os fornecedores:</w:t>
      </w:r>
      <w:bookmarkEnd w:id="1"/>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themeColor="dark1" w:val="000000"/>
          <w:sz w:val="24"/>
        </w:rPr>
        <w:t>que não atendam às condições deste Aviso de Contratação Direta e seu(s) anexo(s);</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themeColor="dark1" w:val="000000"/>
          <w:sz w:val="24"/>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themeColor="dark1" w:val="000000"/>
          <w:sz w:val="24"/>
        </w:rPr>
        <w:t>que se enquadrem nas seguintes vedações:</w:t>
      </w:r>
    </w:p>
    <w:p>
      <w:pPr>
        <w:pStyle w:val="Normal"/>
        <w:numPr>
          <w:ilvl w:val="3"/>
          <w:numId w:val="3"/>
        </w:numPr>
        <w:spacing w:lineRule="auto" w:line="276" w:before="120" w:after="120"/>
        <w:jc w:val="both"/>
        <w:rPr>
          <w:rFonts w:ascii="Times New Roman" w:hAnsi="Times New Roman"/>
          <w:sz w:val="24"/>
        </w:rPr>
      </w:pPr>
      <w:r>
        <w:rPr>
          <w:rFonts w:cs="Arial" w:ascii="Times New Roman" w:hAnsi="Times New Roman"/>
          <w:color w:val="000000"/>
          <w:sz w:val="24"/>
        </w:rPr>
        <w:t>autor do anteprojeto, do projeto básico ou do projeto executivo, pessoa física ou jurídica, quando a contratação versar sobre obra, serviços ou fornecimento de bens a ele relacionados;</w:t>
      </w:r>
    </w:p>
    <w:p>
      <w:pPr>
        <w:pStyle w:val="Normal"/>
        <w:numPr>
          <w:ilvl w:val="3"/>
          <w:numId w:val="3"/>
        </w:numPr>
        <w:spacing w:lineRule="auto" w:line="276" w:before="120" w:after="120"/>
        <w:jc w:val="both"/>
        <w:rPr>
          <w:rFonts w:ascii="Times New Roman" w:hAnsi="Times New Roman"/>
          <w:sz w:val="24"/>
        </w:rPr>
      </w:pPr>
      <w:r>
        <w:rPr>
          <w:rFonts w:cs="Arial" w:ascii="Times New Roman" w:hAnsi="Times New Roman"/>
          <w:color w:val="000000"/>
          <w:sz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3"/>
        </w:numPr>
        <w:spacing w:lineRule="auto" w:line="276" w:before="120" w:after="120"/>
        <w:jc w:val="both"/>
        <w:rPr>
          <w:rFonts w:ascii="Times New Roman" w:hAnsi="Times New Roman"/>
          <w:sz w:val="24"/>
        </w:rPr>
      </w:pPr>
      <w:r>
        <w:rPr>
          <w:rFonts w:cs="Arial" w:ascii="Times New Roman" w:hAnsi="Times New Roman"/>
          <w:color w:val="000000"/>
          <w:sz w:val="24"/>
        </w:rPr>
        <w:t>pessoa física ou jurídica que se encontre, ao tempo da contratação, impossibilitada de contratar em decorrência de sanção que lhe foi imposta;</w:t>
      </w:r>
    </w:p>
    <w:p>
      <w:pPr>
        <w:pStyle w:val="Normal"/>
        <w:numPr>
          <w:ilvl w:val="3"/>
          <w:numId w:val="3"/>
        </w:numPr>
        <w:spacing w:lineRule="auto" w:line="276" w:before="120" w:after="120"/>
        <w:jc w:val="both"/>
        <w:rPr>
          <w:rFonts w:ascii="Times New Roman" w:hAnsi="Times New Roman"/>
          <w:sz w:val="24"/>
        </w:rPr>
      </w:pPr>
      <w:r>
        <w:rPr>
          <w:rFonts w:cs="Arial" w:ascii="Times New Roman" w:hAnsi="Times New Roman"/>
          <w:color w:val="000000"/>
          <w:sz w:val="24"/>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pPr>
        <w:pStyle w:val="Normal"/>
        <w:numPr>
          <w:ilvl w:val="3"/>
          <w:numId w:val="3"/>
        </w:numPr>
        <w:spacing w:lineRule="auto" w:line="276" w:before="120" w:after="120"/>
        <w:jc w:val="both"/>
        <w:rPr/>
      </w:pPr>
      <w:r>
        <w:rPr>
          <w:rFonts w:cs="Arial" w:ascii="Times New Roman" w:hAnsi="Times New Roman"/>
          <w:color w:val="000000"/>
          <w:sz w:val="24"/>
        </w:rPr>
        <w:t xml:space="preserve">empresas controladoras, controladas ou coligadas, nos termos da </w:t>
      </w:r>
      <w:hyperlink r:id="rId9">
        <w:r>
          <w:rPr>
            <w:rStyle w:val="Hyperlink"/>
            <w:rFonts w:eastAsia="Calibri" w:cs="Arial" w:ascii="Times New Roman" w:hAnsi="Times New Roman"/>
            <w:sz w:val="24"/>
          </w:rPr>
          <w:t>Lei nº 6.404, de 15 de dezembro de 1976</w:t>
        </w:r>
      </w:hyperlink>
      <w:r>
        <w:rPr>
          <w:rFonts w:cs="Arial" w:ascii="Times New Roman" w:hAnsi="Times New Roman"/>
          <w:color w:val="000000"/>
          <w:sz w:val="24"/>
        </w:rPr>
        <w:t>, concorrendo entre si;</w:t>
      </w:r>
    </w:p>
    <w:p>
      <w:pPr>
        <w:pStyle w:val="Normal"/>
        <w:numPr>
          <w:ilvl w:val="3"/>
          <w:numId w:val="3"/>
        </w:numPr>
        <w:spacing w:lineRule="auto" w:line="276" w:before="120" w:after="120"/>
        <w:jc w:val="both"/>
        <w:rPr>
          <w:rFonts w:ascii="Times New Roman" w:hAnsi="Times New Roman"/>
          <w:sz w:val="24"/>
        </w:rPr>
      </w:pPr>
      <w:r>
        <w:rPr>
          <w:rFonts w:cs="Arial" w:ascii="Times New Roman" w:hAnsi="Times New Roman"/>
          <w:color w:val="000000"/>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Times New Roman" w:hAnsi="Times New Roman"/>
          <w:sz w:val="24"/>
        </w:rPr>
      </w:pPr>
      <w:r>
        <w:rPr>
          <w:rFonts w:cs="Arial" w:ascii="Times New Roman" w:hAnsi="Times New Roman"/>
          <w:color w:val="000000"/>
          <w:sz w:val="24"/>
        </w:rPr>
        <w:t>Equiparam-se aos autores do projeto as empresas integrantes do mesmo grupo econômico;</w:t>
      </w:r>
    </w:p>
    <w:p>
      <w:pPr>
        <w:pStyle w:val="Normal"/>
        <w:numPr>
          <w:ilvl w:val="3"/>
          <w:numId w:val="1"/>
        </w:numPr>
        <w:spacing w:lineRule="auto" w:line="276" w:before="120" w:after="120"/>
        <w:jc w:val="both"/>
        <w:rPr>
          <w:rFonts w:ascii="Times New Roman" w:hAnsi="Times New Roman"/>
          <w:sz w:val="24"/>
        </w:rPr>
      </w:pPr>
      <w:r>
        <w:rPr>
          <w:rFonts w:cs="Arial" w:ascii="Times New Roman" w:hAnsi="Times New Roman"/>
          <w:color w:val="000000"/>
          <w:sz w:val="24"/>
        </w:rPr>
        <w:t xml:space="preserve"> </w:t>
      </w:r>
      <w:r>
        <w:rPr>
          <w:rFonts w:cs="Arial" w:ascii="Times New Roman" w:hAnsi="Times New Roman"/>
          <w:color w:val="000000"/>
          <w:sz w:val="24"/>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organizações da Sociedade Civil de Interesse Público - OSCIP, atuando nessa condição (Acórdão nº 746/2014-TCU-Plenário); e</w:t>
      </w:r>
    </w:p>
    <w:p>
      <w:pPr>
        <w:pStyle w:val="Normal"/>
        <w:numPr>
          <w:ilvl w:val="1"/>
          <w:numId w:val="1"/>
        </w:numPr>
        <w:spacing w:lineRule="auto" w:line="276" w:before="120" w:after="120"/>
        <w:jc w:val="both"/>
        <w:rPr/>
      </w:pPr>
      <w:r>
        <w:rPr>
          <w:rFonts w:cs="Arial" w:ascii="Times New Roman" w:hAnsi="Times New Roman"/>
          <w:color w:val="000000"/>
          <w:sz w:val="24"/>
        </w:rPr>
        <w:t xml:space="preserve">Será permitida a participação de cooperativas, desde que apresentem demonstrativo de atuação em regime cooperado, com repartição de receitas e despesas entre os cooperados e atendam ao </w:t>
      </w:r>
      <w:r>
        <w:fldChar w:fldCharType="begin"/>
      </w:r>
      <w:r>
        <w:rPr>
          <w:rStyle w:val="Hyperlink"/>
        </w:rPr>
        <w:instrText xml:space="preserve"> HYPERLINK "http://www.planalto.gov.br/ccivil_03/_ato2019-2022/2021/lei/L14133.htm" \l "art16"</w:instrText>
      </w:r>
      <w:r>
        <w:rPr>
          <w:rStyle w:val="Hyperlink"/>
        </w:rPr>
        <w:fldChar w:fldCharType="separate"/>
      </w:r>
      <w:r>
        <w:rPr>
          <w:rStyle w:val="Hyperlink"/>
        </w:rPr>
        <w:t>art. 16 da Lei nº 14.133, de 2021</w:t>
      </w:r>
      <w:r>
        <w:rPr>
          <w:rStyle w:val="Hyperlink"/>
        </w:rPr>
        <w:fldChar w:fldCharType="end"/>
      </w:r>
      <w:r>
        <w:rPr>
          <w:rFonts w:cs="Arial" w:ascii="Times New Roman" w:hAnsi="Times New Roman"/>
          <w:color w:val="000000"/>
          <w:sz w:val="24"/>
        </w:rPr>
        <w:t>.</w:t>
      </w:r>
    </w:p>
    <w:p>
      <w:pPr>
        <w:pStyle w:val="Normal"/>
        <w:numPr>
          <w:ilvl w:val="2"/>
          <w:numId w:val="1"/>
        </w:numPr>
        <w:spacing w:lineRule="auto" w:line="276" w:before="120" w:after="120"/>
        <w:jc w:val="both"/>
        <w:rPr/>
      </w:pPr>
      <w:r>
        <w:rPr>
          <w:rFonts w:cs="Arial" w:ascii="Times New Roman" w:hAnsi="Times New Roman"/>
          <w:color w:val="000000"/>
          <w:sz w:val="24"/>
        </w:rPr>
        <w:t xml:space="preserve">Em sendo permitida a participação de cooperativas, serão estendidas a elas os benefícios previstos para as microempresas e empresas de pequeno porte quando elas atenderem ao disposto </w:t>
      </w:r>
      <w:r>
        <w:fldChar w:fldCharType="begin"/>
      </w:r>
      <w:r>
        <w:rPr>
          <w:rStyle w:val="Hyperlink"/>
          <w:sz w:val="24"/>
          <w:rFonts w:cs="Arial" w:ascii="Times New Roman" w:hAnsi="Times New Roman"/>
          <w:color w:val="000000"/>
        </w:rPr>
        <w:instrText xml:space="preserve"> HYPERLINK "https://www.planalto.gov.br/ccivil_03/_ato2007-2010/2007/lei/l11488.htm" \l "art34"</w:instrText>
      </w:r>
      <w:r>
        <w:rPr>
          <w:rStyle w:val="Hyperlink"/>
          <w:sz w:val="24"/>
          <w:rFonts w:cs="Arial" w:ascii="Times New Roman" w:hAnsi="Times New Roman"/>
          <w:color w:val="000000"/>
        </w:rPr>
        <w:fldChar w:fldCharType="separate"/>
      </w:r>
      <w:r>
        <w:rPr>
          <w:rStyle w:val="Hyperlink"/>
          <w:rFonts w:cs="Arial" w:ascii="Times New Roman" w:hAnsi="Times New Roman"/>
          <w:color w:val="000000"/>
          <w:sz w:val="24"/>
        </w:rPr>
        <w:t>no art. 34 da Lei n.º 11.488, de 15 de junho de 2007</w:t>
      </w:r>
      <w:r>
        <w:rPr>
          <w:rStyle w:val="Hyperlink"/>
          <w:sz w:val="24"/>
          <w:rFonts w:cs="Arial" w:ascii="Times New Roman" w:hAnsi="Times New Roman"/>
          <w:color w:val="000000"/>
        </w:rPr>
        <w:fldChar w:fldCharType="end"/>
      </w:r>
      <w:r>
        <w:rPr>
          <w:rFonts w:cs="Arial" w:ascii="Times New Roman" w:hAnsi="Times New Roman"/>
          <w:color w:val="000000"/>
          <w:sz w:val="24"/>
        </w:rPr>
        <w:t>.</w:t>
      </w:r>
    </w:p>
    <w:p>
      <w:pPr>
        <w:pStyle w:val="Normal"/>
        <w:numPr>
          <w:ilvl w:val="1"/>
          <w:numId w:val="1"/>
        </w:numPr>
        <w:spacing w:lineRule="auto" w:line="276" w:before="120" w:after="120"/>
        <w:ind w:hanging="0" w:left="425"/>
        <w:jc w:val="both"/>
        <w:rPr/>
      </w:pPr>
      <w:r>
        <w:rPr>
          <w:rFonts w:cs="Arial" w:ascii="Times New Roman" w:hAnsi="Times New Roman"/>
          <w:bCs/>
          <w:sz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Hyperlink"/>
          <w:sz w:val="24"/>
          <w:bCs/>
          <w:rFonts w:cs="Arial" w:ascii="Times New Roman" w:hAnsi="Times New Roman"/>
        </w:rPr>
        <w:instrText xml:space="preserve"> HYPERLINK "http://www.planalto.gov.br/ccivil_03/_ato2019-2022/2021/lei/L14133.htm" \l "art9§1"</w:instrText>
      </w:r>
      <w:r>
        <w:rPr>
          <w:rStyle w:val="Hyperlink"/>
          <w:sz w:val="24"/>
          <w:bCs/>
          <w:rFonts w:cs="Arial" w:ascii="Times New Roman" w:hAnsi="Times New Roman"/>
        </w:rPr>
        <w:fldChar w:fldCharType="separate"/>
      </w:r>
      <w:r>
        <w:rPr>
          <w:rStyle w:val="Hyperlink"/>
          <w:rFonts w:cs="Arial" w:ascii="Times New Roman" w:hAnsi="Times New Roman"/>
          <w:bCs/>
          <w:sz w:val="24"/>
        </w:rPr>
        <w:t>§ 1º do art. 9º da Lei n.º 14.133, de 2021</w:t>
      </w:r>
      <w:r>
        <w:rPr>
          <w:rStyle w:val="Hyperlink"/>
          <w:sz w:val="24"/>
          <w:bCs/>
          <w:rFonts w:cs="Arial" w:ascii="Times New Roman" w:hAnsi="Times New Roman"/>
        </w:rPr>
        <w:fldChar w:fldCharType="end"/>
      </w:r>
      <w:r>
        <w:rPr>
          <w:rFonts w:cs="Arial" w:ascii="Times New Roman" w:hAnsi="Times New Roman"/>
          <w:bCs/>
          <w:sz w:val="24"/>
        </w:rPr>
        <w:t>.</w:t>
      </w:r>
    </w:p>
    <w:p>
      <w:pPr>
        <w:pStyle w:val="Normal"/>
        <w:spacing w:lineRule="auto" w:line="276" w:before="120" w:after="120"/>
        <w:ind w:left="425"/>
        <w:jc w:val="both"/>
        <w:rPr>
          <w:rFonts w:ascii="Times New Roman" w:hAnsi="Times New Roman" w:cs="Arial"/>
          <w:bCs/>
          <w:sz w:val="24"/>
        </w:rPr>
      </w:pPr>
      <w:r>
        <w:rPr>
          <w:rFonts w:cs="Arial" w:ascii="Times New Roman" w:hAnsi="Times New Roman"/>
          <w:bCs/>
          <w:sz w:val="24"/>
        </w:rPr>
      </w:r>
    </w:p>
    <w:p>
      <w:pPr>
        <w:pStyle w:val="Heading1"/>
        <w:numPr>
          <w:ilvl w:val="0"/>
          <w:numId w:val="1"/>
        </w:numPr>
        <w:rPr>
          <w:rFonts w:ascii="Times New Roman" w:hAnsi="Times New Roman"/>
          <w:sz w:val="24"/>
        </w:rPr>
      </w:pPr>
      <w:bookmarkStart w:id="2" w:name="_Toc142925863"/>
      <w:r>
        <w:rPr>
          <w:rFonts w:ascii="Times New Roman" w:hAnsi="Times New Roman"/>
          <w:sz w:val="24"/>
        </w:rPr>
        <w:t>INGRESSO NA DISPENSA ELETRÔNICA E CADASTRAMENTO DA PROPOSTA INICIAL</w:t>
      </w:r>
      <w:bookmarkEnd w:id="2"/>
    </w:p>
    <w:p>
      <w:pPr>
        <w:pStyle w:val="Normal"/>
        <w:numPr>
          <w:ilvl w:val="1"/>
          <w:numId w:val="1"/>
        </w:numPr>
        <w:snapToGrid w:val="false"/>
        <w:spacing w:lineRule="auto" w:line="276" w:before="120" w:after="120"/>
        <w:ind w:hanging="0" w:left="425"/>
        <w:jc w:val="both"/>
        <w:rPr>
          <w:rFonts w:ascii="Times New Roman" w:hAnsi="Times New Roman"/>
          <w:sz w:val="24"/>
        </w:rPr>
      </w:pPr>
      <w:r>
        <w:rPr>
          <w:rFonts w:cs="Arial" w:ascii="Times New Roman" w:hAnsi="Times New Roman"/>
          <w:color w:themeColor="dark1" w:val="000000"/>
          <w:sz w:val="24"/>
        </w:rPr>
        <w:t>O ingresso do fornecedor na disputa da dispensa eletrônica ocorrerá com o cadastramento de sua proposta inicial, na forma deste item.</w:t>
      </w:r>
    </w:p>
    <w:p>
      <w:pPr>
        <w:pStyle w:val="Normal"/>
        <w:numPr>
          <w:ilvl w:val="1"/>
          <w:numId w:val="1"/>
        </w:numPr>
        <w:snapToGrid w:val="false"/>
        <w:spacing w:lineRule="auto" w:line="276" w:before="120" w:after="120"/>
        <w:ind w:hanging="0" w:left="425"/>
        <w:jc w:val="both"/>
        <w:rPr>
          <w:rFonts w:ascii="Times New Roman" w:hAnsi="Times New Roman"/>
          <w:sz w:val="24"/>
        </w:rPr>
      </w:pPr>
      <w:r>
        <w:rPr>
          <w:rFonts w:cs="Arial" w:ascii="Times New Roman" w:hAnsi="Times New Roman"/>
          <w:color w:themeColor="dark1" w:val="000000"/>
          <w:sz w:val="24"/>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pPr>
        <w:pStyle w:val="ListParagraph"/>
        <w:rPr>
          <w:rFonts w:cs="Arial"/>
          <w:i/>
          <w:i/>
          <w:iCs/>
          <w:color w:val="FF0000"/>
          <w:shd w:fill="00FFFF" w:val="clear"/>
        </w:rPr>
      </w:pPr>
      <w:r>
        <w:rPr>
          <w:rFonts w:cs="Arial"/>
          <w:i/>
          <w:iCs/>
          <w:color w:val="FF0000"/>
          <w:shd w:fill="00FFFF" w:val="clear"/>
        </w:rPr>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sz w:val="24"/>
        </w:rPr>
        <w:t xml:space="preserve">Todas as especificações do </w:t>
      </w:r>
      <w:r>
        <w:rPr>
          <w:rFonts w:cs="Arial" w:ascii="Times New Roman" w:hAnsi="Times New Roman"/>
          <w:color w:themeColor="dark1" w:val="000000"/>
          <w:sz w:val="24"/>
        </w:rPr>
        <w:t>objeto</w:t>
      </w:r>
      <w:r>
        <w:rPr>
          <w:rFonts w:cs="Arial" w:ascii="Times New Roman" w:hAnsi="Times New Roman"/>
          <w:sz w:val="24"/>
        </w:rPr>
        <w:t xml:space="preserve"> contidas na proposta, em especial o preço ou o desconto ofertados, vinculam a Contratada.</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sz w:val="24"/>
        </w:rPr>
        <w:t>Nos valores propostos estarão inclusos todos os custos operacionais, encargos previdenciários, trabalhistas, tributários, comerciais e quaisquer outros que incidam direta ou indiretamente na execução do objeto;</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sz w:val="24"/>
        </w:rPr>
        <w:t xml:space="preserve"> </w:t>
      </w:r>
      <w:r>
        <w:rPr>
          <w:rFonts w:cs="Arial" w:ascii="Times New Roman" w:hAnsi="Times New Roman"/>
          <w:sz w:val="24"/>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sz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sz w:val="24"/>
        </w:rPr>
        <w:t xml:space="preserve">Se o regime tributário da empresa implicar o recolhimento de tributos em percentuais variáveis, a cotação adequada será aquela correspondente à média dos efetivos recolhimentos da empresa nos últimos doze meses. </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sz w:val="24"/>
        </w:rPr>
        <w:t>Independentemente do percentual do tributo que constar da planilha, no pagamento serão retidos na fonte os percentuais estabelecidos pela legislação vigente.</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sz w:val="24"/>
        </w:rPr>
        <w:t xml:space="preserve">A apresentação das propostas implica obrigatoriedade do cumprimento das disposições nelas contidas, em conformidade com o que dispõe o </w:t>
      </w:r>
      <w:r>
        <w:rPr>
          <w:rFonts w:cs="Arial" w:ascii="Times New Roman" w:hAnsi="Times New Roman"/>
          <w:iCs/>
          <w:sz w:val="24"/>
        </w:rPr>
        <w:t>Termo de Referência</w:t>
      </w:r>
      <w:r>
        <w:rPr>
          <w:rFonts w:cs="Arial" w:ascii="Times New Roman" w:hAnsi="Times New Roman"/>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themeColor="dark1" w:val="000000"/>
          <w:sz w:val="24"/>
        </w:rPr>
        <w:t xml:space="preserve">O </w:t>
      </w:r>
      <w:r>
        <w:rPr>
          <w:rFonts w:cs="Arial" w:ascii="Times New Roman" w:hAnsi="Times New Roman"/>
          <w:sz w:val="24"/>
        </w:rPr>
        <w:t>prazo</w:t>
      </w:r>
      <w:r>
        <w:rPr>
          <w:rFonts w:cs="Arial" w:ascii="Times New Roman" w:hAnsi="Times New Roman"/>
          <w:color w:themeColor="dark1" w:val="000000"/>
          <w:sz w:val="24"/>
        </w:rPr>
        <w:t xml:space="preserve"> de validade </w:t>
      </w:r>
      <w:r>
        <w:rPr>
          <w:rFonts w:cs="Arial" w:ascii="Times New Roman" w:hAnsi="Times New Roman"/>
          <w:sz w:val="24"/>
        </w:rPr>
        <w:t>da</w:t>
      </w:r>
      <w:r>
        <w:rPr>
          <w:rFonts w:cs="Arial" w:ascii="Times New Roman" w:hAnsi="Times New Roman"/>
          <w:color w:themeColor="dark1" w:val="000000"/>
          <w:sz w:val="24"/>
        </w:rPr>
        <w:t xml:space="preserve"> proposta não será inferior a </w:t>
      </w:r>
      <w:r>
        <w:rPr>
          <w:rFonts w:cs="Arial" w:ascii="Times New Roman" w:hAnsi="Times New Roman"/>
          <w:color w:val="000000"/>
          <w:sz w:val="24"/>
        </w:rPr>
        <w:t>60 (sessenta</w:t>
      </w:r>
      <w:r>
        <w:rPr>
          <w:rFonts w:cs="Arial" w:ascii="Times New Roman" w:hAnsi="Times New Roman"/>
          <w:color w:themeColor="dark1" w:val="000000"/>
          <w:sz w:val="24"/>
        </w:rPr>
        <w:t>)</w:t>
      </w:r>
      <w:r>
        <w:rPr>
          <w:rFonts w:cs="Arial" w:ascii="Times New Roman" w:hAnsi="Times New Roman"/>
          <w:color w:val="000000"/>
          <w:sz w:val="24"/>
        </w:rPr>
        <w:t xml:space="preserve"> </w:t>
      </w:r>
      <w:r>
        <w:rPr>
          <w:rFonts w:cs="Arial" w:ascii="Times New Roman" w:hAnsi="Times New Roman"/>
          <w:color w:themeColor="dark1" w:val="000000"/>
          <w:sz w:val="24"/>
        </w:rPr>
        <w:t>dias</w:t>
      </w:r>
      <w:r>
        <w:rPr>
          <w:rFonts w:cs="Arial" w:ascii="Times New Roman" w:hAnsi="Times New Roman"/>
          <w:b/>
          <w:bCs/>
          <w:color w:themeColor="dark1" w:val="000000"/>
          <w:sz w:val="24"/>
        </w:rPr>
        <w:t>,</w:t>
      </w:r>
      <w:r>
        <w:rPr>
          <w:rFonts w:cs="Arial" w:ascii="Times New Roman" w:hAnsi="Times New Roman"/>
          <w:color w:themeColor="dark1" w:val="000000"/>
          <w:sz w:val="24"/>
        </w:rPr>
        <w:t xml:space="preserve"> a contar da data de sua apresentação.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themeColor="dark1" w:val="000000"/>
          <w:sz w:val="24"/>
        </w:rPr>
        <w:t>No cadastramento da proposta inicial, o fornecedor deverá, também, assinalar Termo de Aceitação, em campo próprio do sistema eletrônico, relativo às seguintes declarações:</w:t>
      </w:r>
      <w:r>
        <w:rPr>
          <w:rFonts w:eastAsia="Zurich BT" w:cs="Arial" w:ascii="Times New Roman" w:hAnsi="Times New Roman"/>
          <w:color w:themeColor="dark1" w:val="000000"/>
          <w:sz w:val="24"/>
        </w:rPr>
        <w:t xml:space="preserve"> </w:t>
      </w:r>
    </w:p>
    <w:p>
      <w:pPr>
        <w:pStyle w:val="Normal"/>
        <w:spacing w:lineRule="auto" w:line="276" w:before="120" w:after="120"/>
        <w:ind w:left="425"/>
        <w:jc w:val="both"/>
        <w:rPr>
          <w:rFonts w:ascii="Times New Roman" w:hAnsi="Times New Roman"/>
          <w:sz w:val="24"/>
        </w:rPr>
      </w:pPr>
      <w:r>
        <w:rPr>
          <w:rFonts w:ascii="Times New Roman" w:hAnsi="Times New Roman"/>
          <w:sz w:val="24"/>
        </w:rPr>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themeColor="dark1" w:val="000000"/>
          <w:sz w:val="24"/>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themeColor="dark1" w:val="000000"/>
          <w:sz w:val="24"/>
        </w:rPr>
        <w:t>que está ciente e concorda com as condições contidas no Aviso de Contratação Direta e seus anexos;</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themeColor="dark1" w:val="000000"/>
          <w:sz w:val="24"/>
        </w:rPr>
        <w:t>que se responsabiliza pelas transações que forem efetuadas no sistema, assumindo-as como firmes e verdadeiras;</w:t>
      </w:r>
    </w:p>
    <w:p>
      <w:pPr>
        <w:pStyle w:val="Normal"/>
        <w:numPr>
          <w:ilvl w:val="2"/>
          <w:numId w:val="1"/>
        </w:numPr>
        <w:spacing w:lineRule="auto" w:line="276" w:before="120" w:after="120"/>
        <w:jc w:val="both"/>
        <w:rPr/>
      </w:pPr>
      <w:r>
        <w:rPr>
          <w:rFonts w:cs="Arial" w:ascii="Times New Roman" w:hAnsi="Times New Roman"/>
          <w:color w:themeColor="dark1" w:val="000000"/>
          <w:sz w:val="24"/>
        </w:rPr>
        <w:t xml:space="preserve">que cumpre as exigências de reserva de cargos para pessoa com deficiência e para reabilitado da Previdência Social, de que trata </w:t>
      </w:r>
      <w:r>
        <w:fldChar w:fldCharType="begin"/>
      </w:r>
      <w:r>
        <w:rPr>
          <w:rStyle w:val="Hyperlink"/>
          <w:sz w:val="24"/>
          <w:rFonts w:cs="Arial" w:ascii="Times New Roman" w:hAnsi="Times New Roman"/>
        </w:rPr>
        <w:instrText xml:space="preserve"> HYPERLINK "https://www.planalto.gov.br/ccivil_03/leis/l8213cons.htm" \l "art93"</w:instrText>
      </w:r>
      <w:r>
        <w:rPr>
          <w:rStyle w:val="Hyperlink"/>
          <w:sz w:val="24"/>
          <w:rFonts w:cs="Arial" w:ascii="Times New Roman" w:hAnsi="Times New Roman"/>
        </w:rPr>
        <w:fldChar w:fldCharType="separate"/>
      </w:r>
      <w:r>
        <w:rPr>
          <w:rStyle w:val="Hyperlink"/>
          <w:rFonts w:cs="Arial" w:ascii="Times New Roman" w:hAnsi="Times New Roman"/>
          <w:sz w:val="24"/>
        </w:rPr>
        <w:t>o art. 93 da Lei nº 8.213/91</w:t>
      </w:r>
      <w:r>
        <w:rPr>
          <w:rStyle w:val="Hyperlink"/>
          <w:sz w:val="24"/>
          <w:rFonts w:cs="Arial" w:ascii="Times New Roman" w:hAnsi="Times New Roman"/>
        </w:rPr>
        <w:fldChar w:fldCharType="end"/>
      </w:r>
      <w:r>
        <w:rPr>
          <w:rFonts w:cs="Arial" w:ascii="Times New Roman" w:hAnsi="Times New Roman"/>
          <w:color w:themeColor="dark1" w:val="000000"/>
          <w:sz w:val="24"/>
        </w:rPr>
        <w:t>.</w:t>
      </w:r>
    </w:p>
    <w:p>
      <w:pPr>
        <w:pStyle w:val="Normal"/>
        <w:numPr>
          <w:ilvl w:val="2"/>
          <w:numId w:val="1"/>
        </w:numPr>
        <w:spacing w:lineRule="auto" w:line="276" w:before="120" w:after="120"/>
        <w:jc w:val="both"/>
        <w:rPr/>
      </w:pPr>
      <w:r>
        <w:rPr>
          <w:rFonts w:cs="Arial" w:ascii="Times New Roman" w:hAnsi="Times New Roman"/>
          <w:color w:themeColor="dark1" w:val="000000"/>
          <w:sz w:val="24"/>
        </w:rPr>
        <w:t xml:space="preserve">que não emprega menor de 18 anos em trabalho noturno, perigoso ou insalubre e não emprega menor de 16 anos, salvo menor, a partir de 14 anos, na condição de aprendiz, nos termos do </w:t>
      </w:r>
      <w:r>
        <w:fldChar w:fldCharType="begin"/>
      </w:r>
      <w:r>
        <w:rPr>
          <w:rStyle w:val="Hyperlink"/>
          <w:sz w:val="24"/>
          <w:rFonts w:cs="Arial" w:ascii="Times New Roman" w:hAnsi="Times New Roman"/>
        </w:rPr>
        <w:instrText xml:space="preserve"> HYPERLINK "https://normas.leg.br/?urn=urn:lex:br:federal:constituicao:1988-10-05;1988" \l "art7"</w:instrText>
      </w:r>
      <w:r>
        <w:rPr>
          <w:rStyle w:val="Hyperlink"/>
          <w:sz w:val="24"/>
          <w:rFonts w:cs="Arial" w:ascii="Times New Roman" w:hAnsi="Times New Roman"/>
        </w:rPr>
        <w:fldChar w:fldCharType="separate"/>
      </w:r>
      <w:r>
        <w:rPr>
          <w:rStyle w:val="Hyperlink"/>
          <w:rFonts w:cs="Arial" w:ascii="Times New Roman" w:hAnsi="Times New Roman"/>
          <w:sz w:val="24"/>
        </w:rPr>
        <w:t>artigo 7°, XXXIII, da Constituição</w:t>
      </w:r>
      <w:r>
        <w:rPr>
          <w:rStyle w:val="Hyperlink"/>
          <w:sz w:val="24"/>
          <w:rFonts w:cs="Arial" w:ascii="Times New Roman" w:hAnsi="Times New Roman"/>
        </w:rPr>
        <w:fldChar w:fldCharType="end"/>
      </w:r>
      <w:r>
        <w:rPr>
          <w:rFonts w:cs="Arial" w:ascii="Times New Roman" w:hAnsi="Times New Roman"/>
          <w:color w:themeColor="dark1" w:val="000000"/>
          <w:sz w:val="24"/>
        </w:rPr>
        <w:t>;</w:t>
      </w:r>
    </w:p>
    <w:p>
      <w:pPr>
        <w:pStyle w:val="Normal"/>
        <w:numPr>
          <w:ilvl w:val="1"/>
          <w:numId w:val="1"/>
        </w:numPr>
        <w:spacing w:lineRule="auto" w:line="276" w:before="120" w:after="120"/>
        <w:jc w:val="both"/>
        <w:rPr/>
      </w:pPr>
      <w:r>
        <w:rPr>
          <w:rFonts w:cs="Arial" w:ascii="Times New Roman" w:hAnsi="Times New Roman"/>
          <w:color w:themeColor="dark1" w:val="000000"/>
          <w:sz w:val="24"/>
        </w:rPr>
        <w:t xml:space="preserve">O fornecedor organizado em cooperativa deverá declarar, ainda, em campo próprio do sistema eletrônico, que cumpre os requisitos estabelecidos no </w:t>
      </w:r>
      <w:r>
        <w:fldChar w:fldCharType="begin"/>
      </w:r>
      <w:r>
        <w:rPr>
          <w:rStyle w:val="Hyperlink"/>
          <w:sz w:val="24"/>
          <w:rFonts w:cs="Arial" w:ascii="Times New Roman" w:hAnsi="Times New Roman"/>
        </w:rPr>
        <w:instrText xml:space="preserve"> HYPERLINK "http://www.planalto.gov.br/ccivil_03/_ato2019-2022/2021/lei/L14133.htm" \l "art16"</w:instrText>
      </w:r>
      <w:r>
        <w:rPr>
          <w:rStyle w:val="Hyperlink"/>
          <w:sz w:val="24"/>
          <w:rFonts w:cs="Arial" w:ascii="Times New Roman" w:hAnsi="Times New Roman"/>
        </w:rPr>
        <w:fldChar w:fldCharType="separate"/>
      </w:r>
      <w:r>
        <w:rPr>
          <w:rStyle w:val="Hyperlink"/>
          <w:rFonts w:cs="Arial" w:ascii="Times New Roman" w:hAnsi="Times New Roman"/>
          <w:sz w:val="24"/>
        </w:rPr>
        <w:t>artigo 16 da Lei nº 14.133, de 2021.</w:t>
      </w:r>
      <w:r>
        <w:rPr>
          <w:rStyle w:val="Hyperlink"/>
          <w:sz w:val="24"/>
          <w:rFonts w:cs="Arial" w:ascii="Times New Roman" w:hAnsi="Times New Roman"/>
        </w:rPr>
        <w:fldChar w:fldCharType="end"/>
      </w:r>
    </w:p>
    <w:p>
      <w:pPr>
        <w:pStyle w:val="Normal"/>
        <w:numPr>
          <w:ilvl w:val="1"/>
          <w:numId w:val="1"/>
        </w:numPr>
        <w:spacing w:lineRule="auto" w:line="276" w:before="120" w:after="120"/>
        <w:jc w:val="both"/>
        <w:rPr/>
      </w:pPr>
      <w:r>
        <w:rPr>
          <w:rFonts w:cs="Arial" w:ascii="Times New Roman" w:hAnsi="Times New Roman"/>
          <w:color w:themeColor="dark1" w:val="000000"/>
          <w:sz w:val="24"/>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Hyperlink"/>
          <w:sz w:val="24"/>
          <w:rFonts w:cs="Arial" w:ascii="Times New Roman" w:hAnsi="Times New Roman"/>
        </w:rPr>
        <w:instrText xml:space="preserve"> HYPERLINK "https://www.planalto.gov.br/ccivil_03/leis/lcp/lcp123.htm" \l "art3"</w:instrText>
      </w:r>
      <w:r>
        <w:rPr>
          <w:rStyle w:val="Hyperlink"/>
          <w:sz w:val="24"/>
          <w:rFonts w:cs="Arial" w:ascii="Times New Roman" w:hAnsi="Times New Roman"/>
        </w:rPr>
        <w:fldChar w:fldCharType="separate"/>
      </w:r>
      <w:r>
        <w:rPr>
          <w:rStyle w:val="Hyperlink"/>
          <w:rFonts w:cs="Arial" w:ascii="Times New Roman" w:hAnsi="Times New Roman"/>
          <w:sz w:val="24"/>
        </w:rPr>
        <w:t>artigo 3° da Lei Complementar nº 123, de 2006</w:t>
      </w:r>
      <w:r>
        <w:rPr>
          <w:rStyle w:val="Hyperlink"/>
          <w:sz w:val="24"/>
          <w:rFonts w:cs="Arial" w:ascii="Times New Roman" w:hAnsi="Times New Roman"/>
        </w:rPr>
        <w:fldChar w:fldCharType="end"/>
      </w:r>
      <w:r>
        <w:rPr>
          <w:rFonts w:cs="Arial" w:ascii="Times New Roman" w:hAnsi="Times New Roman"/>
          <w:color w:themeColor="dark1" w:val="000000"/>
          <w:sz w:val="24"/>
        </w:rPr>
        <w:t xml:space="preserve">, estando apto a usufruir do tratamento favorecido estabelecido em seus arts. 42 a 49, observado o disposto nos </w:t>
      </w:r>
      <w:r>
        <w:fldChar w:fldCharType="begin"/>
      </w:r>
      <w:r>
        <w:rPr>
          <w:rStyle w:val="Hyperlink"/>
          <w:sz w:val="24"/>
          <w:rFonts w:cs="Arial" w:ascii="Times New Roman" w:hAnsi="Times New Roman"/>
        </w:rPr>
        <w:instrText xml:space="preserve"> HYPERLINK "http://www.planalto.gov.br/ccivil_03/_ato2019-2022/2021/lei/L14133.htm" \l "art4§1"</w:instrText>
      </w:r>
      <w:r>
        <w:rPr>
          <w:rStyle w:val="Hyperlink"/>
          <w:sz w:val="24"/>
          <w:rFonts w:cs="Arial" w:ascii="Times New Roman" w:hAnsi="Times New Roman"/>
        </w:rPr>
        <w:fldChar w:fldCharType="separate"/>
      </w:r>
      <w:r>
        <w:rPr>
          <w:rStyle w:val="Hyperlink"/>
          <w:rFonts w:cs="Arial" w:ascii="Times New Roman" w:hAnsi="Times New Roman"/>
          <w:sz w:val="24"/>
        </w:rPr>
        <w:t>§§ 1º ao 3º do art. 4º, da Lei n.º 14.133, de 2021.</w:t>
      </w:r>
      <w:r>
        <w:rPr>
          <w:rStyle w:val="Hyperlink"/>
          <w:sz w:val="24"/>
          <w:rFonts w:cs="Arial" w:ascii="Times New Roman" w:hAnsi="Times New Roman"/>
        </w:rPr>
        <w:fldChar w:fldCharType="end"/>
      </w:r>
    </w:p>
    <w:p>
      <w:pPr>
        <w:pStyle w:val="Normal"/>
        <w:numPr>
          <w:ilvl w:val="1"/>
          <w:numId w:val="1"/>
        </w:numPr>
        <w:spacing w:lineRule="auto" w:line="276" w:before="120" w:after="120"/>
        <w:jc w:val="both"/>
        <w:rPr>
          <w:rFonts w:ascii="Times New Roman" w:hAnsi="Times New Roman"/>
          <w:color w:val="000000"/>
          <w:sz w:val="24"/>
        </w:rPr>
      </w:pPr>
      <w:r>
        <w:rPr>
          <w:rFonts w:cs="Arial" w:ascii="Times New Roman" w:hAnsi="Times New Roman"/>
          <w:color w:val="000000"/>
          <w:sz w:val="24"/>
        </w:rPr>
        <w:t>Desde que disponibilizada a funcionalidade no sistema, fica facultado ao fornecedor, ao cadastrar sua proposta inicial, a parametrização de valor final mínimo, com o registro do seu lance final aceitável (menor preço).</w:t>
      </w:r>
    </w:p>
    <w:p>
      <w:pPr>
        <w:pStyle w:val="Normal"/>
        <w:numPr>
          <w:ilvl w:val="2"/>
          <w:numId w:val="1"/>
        </w:numPr>
        <w:spacing w:lineRule="auto" w:line="276" w:before="120" w:after="120"/>
        <w:jc w:val="both"/>
        <w:rPr>
          <w:rFonts w:ascii="Times New Roman" w:hAnsi="Times New Roman"/>
          <w:color w:val="000000"/>
          <w:sz w:val="24"/>
        </w:rPr>
      </w:pPr>
      <w:r>
        <w:rPr>
          <w:rFonts w:cs="Arial" w:ascii="Times New Roman" w:hAnsi="Times New Roman"/>
          <w:color w:val="000000"/>
          <w:sz w:val="24"/>
        </w:rPr>
        <w:t xml:space="preserve">Feita essa opção os lances serão enviados automaticamente pelo sistema, respeitados os limites cadastrados pelo fornecedor e o intervalo mínimo entre lances previsto neste aviso. </w:t>
      </w:r>
    </w:p>
    <w:p>
      <w:pPr>
        <w:pStyle w:val="Normal"/>
        <w:numPr>
          <w:ilvl w:val="3"/>
          <w:numId w:val="1"/>
        </w:numPr>
        <w:spacing w:lineRule="auto" w:line="276" w:before="120" w:after="120"/>
        <w:jc w:val="both"/>
        <w:rPr>
          <w:rFonts w:ascii="Times New Roman" w:hAnsi="Times New Roman"/>
          <w:color w:val="000000"/>
          <w:sz w:val="24"/>
        </w:rPr>
      </w:pPr>
      <w:r>
        <w:rPr>
          <w:rFonts w:cs="Arial" w:ascii="Times New Roman" w:hAnsi="Times New Roman"/>
          <w:color w:val="000000"/>
          <w:sz w:val="24"/>
        </w:rPr>
        <w:t>Sem prejuízo do disposto acima, os lances poderão ser enviados manualmente, na forma da seção respectiva deste Aviso de Contratação Direta;</w:t>
      </w:r>
    </w:p>
    <w:p>
      <w:pPr>
        <w:pStyle w:val="Normal"/>
        <w:numPr>
          <w:ilvl w:val="2"/>
          <w:numId w:val="1"/>
        </w:numPr>
        <w:spacing w:lineRule="auto" w:line="276" w:before="120" w:after="120"/>
        <w:jc w:val="both"/>
        <w:rPr>
          <w:rFonts w:ascii="Times New Roman" w:hAnsi="Times New Roman"/>
          <w:color w:val="000000"/>
          <w:sz w:val="24"/>
        </w:rPr>
      </w:pPr>
      <w:r>
        <w:rPr>
          <w:rFonts w:cs="Arial" w:ascii="Times New Roman" w:hAnsi="Times New Roman"/>
          <w:color w:val="000000"/>
          <w:sz w:val="24"/>
        </w:rPr>
        <w:t>O valor final mínimo poderá ser alterado pelo fornecedor durante a fase de disputa, desde que não assuma valor superior a lance já registrado por ele no sistema.</w:t>
      </w:r>
    </w:p>
    <w:p>
      <w:pPr>
        <w:pStyle w:val="Normal"/>
        <w:numPr>
          <w:ilvl w:val="2"/>
          <w:numId w:val="1"/>
        </w:numPr>
        <w:spacing w:lineRule="auto" w:line="276" w:before="120" w:after="120"/>
        <w:jc w:val="both"/>
        <w:rPr>
          <w:rFonts w:ascii="Times New Roman" w:hAnsi="Times New Roman"/>
          <w:color w:val="000000"/>
          <w:sz w:val="24"/>
        </w:rPr>
      </w:pPr>
      <w:r>
        <w:rPr>
          <w:rFonts w:cs="Arial" w:ascii="Times New Roman" w:hAnsi="Times New Roman"/>
          <w:color w:val="000000"/>
          <w:sz w:val="24"/>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Heading1"/>
        <w:numPr>
          <w:ilvl w:val="0"/>
          <w:numId w:val="1"/>
        </w:numPr>
        <w:rPr>
          <w:rFonts w:ascii="Times New Roman" w:hAnsi="Times New Roman"/>
          <w:sz w:val="24"/>
        </w:rPr>
      </w:pPr>
      <w:bookmarkStart w:id="3" w:name="_Toc142925864"/>
      <w:r>
        <w:rPr>
          <w:rFonts w:ascii="Times New Roman" w:hAnsi="Times New Roman"/>
          <w:sz w:val="24"/>
        </w:rPr>
        <w:t>FASE DE LANCES</w:t>
      </w:r>
      <w:bookmarkEnd w:id="3"/>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 xml:space="preserve">A partir da data e horário estabelecidos neste Aviso de Contratação Direta, a sessão pública será automaticamente aberta pelo sistema para o envio de lances públicos e sucessivos, </w:t>
      </w:r>
      <w:r>
        <w:rPr>
          <w:rFonts w:cs="Arial" w:ascii="Times New Roman" w:hAnsi="Times New Roman"/>
          <w:bCs/>
          <w:sz w:val="24"/>
          <w:lang w:eastAsia="en-US"/>
        </w:rPr>
        <w:t>exclusivamente por meio do sistema eletrônico</w:t>
      </w:r>
      <w:r>
        <w:rPr>
          <w:rFonts w:cs="Arial" w:ascii="Times New Roman" w:hAnsi="Times New Roman"/>
          <w:sz w:val="24"/>
          <w:lang w:eastAsia="en-US"/>
        </w:rPr>
        <w:t xml:space="preserve">, </w:t>
      </w:r>
      <w:r>
        <w:rPr>
          <w:rFonts w:cs="Arial" w:ascii="Times New Roman" w:hAnsi="Times New Roman"/>
          <w:color w:themeColor="dark1" w:val="000000"/>
          <w:sz w:val="24"/>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 xml:space="preserve">O lance </w:t>
      </w:r>
      <w:r>
        <w:rPr>
          <w:rFonts w:cs="Arial" w:ascii="Times New Roman" w:hAnsi="Times New Roman"/>
          <w:color w:themeColor="dark1" w:val="000000"/>
          <w:sz w:val="24"/>
          <w:lang w:eastAsia="en-US"/>
        </w:rPr>
        <w:t>deverá</w:t>
      </w:r>
      <w:r>
        <w:rPr>
          <w:rFonts w:cs="Arial" w:ascii="Times New Roman" w:hAnsi="Times New Roman"/>
          <w:sz w:val="24"/>
        </w:rPr>
        <w:t xml:space="preserve"> ser ofertado pelo </w:t>
      </w:r>
      <w:r>
        <w:rPr>
          <w:rFonts w:cs="Arial" w:ascii="Times New Roman" w:hAnsi="Times New Roman"/>
          <w:color w:val="000000"/>
          <w:sz w:val="24"/>
        </w:rPr>
        <w:t>valor unitário</w:t>
      </w:r>
      <w:r>
        <w:rPr>
          <w:rFonts w:cs="Arial" w:ascii="Times New Roman" w:hAnsi="Times New Roman"/>
          <w:sz w:val="24"/>
        </w:rPr>
        <w:t xml:space="preserve"> do item.</w:t>
      </w:r>
    </w:p>
    <w:p>
      <w:pPr>
        <w:pStyle w:val="Quote"/>
        <w:numPr>
          <w:ilvl w:val="1"/>
          <w:numId w:val="1"/>
        </w:numPr>
        <w:pBdr>
          <w:top w:val="nil"/>
          <w:left w:val="nil"/>
          <w:bottom w:val="nil"/>
          <w:right w:val="nil"/>
        </w:pBdr>
        <w:shd w:val="clear" w:fill="FFFFFF"/>
        <w:spacing w:lineRule="auto" w:line="276" w:before="120" w:after="120"/>
        <w:contextualSpacing/>
        <w:rPr>
          <w:rFonts w:ascii="Times New Roman" w:hAnsi="Times New Roman"/>
          <w:sz w:val="24"/>
        </w:rPr>
      </w:pPr>
      <w:r>
        <w:rPr>
          <w:rFonts w:cs="Arial" w:ascii="Times New Roman" w:hAnsi="Times New Roman"/>
          <w:i w:val="false"/>
          <w:iCs w:val="false"/>
          <w:color w:themeColor="dark1" w:val="000000"/>
          <w:sz w:val="24"/>
        </w:rPr>
        <w:t>O fornecedor somente poderá oferecer valor inferior ou percentual de desconto superior ao último lance por ele ofertado e registrado pelo sistema.</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O intervalo mínimo de diferença de valores ou percentuais entre os lances, que incidirá tanto em relação aos lances intermediários quanto em relação ao que cobrir a melhor oferta é de</w:t>
      </w:r>
      <w:r>
        <w:rPr>
          <w:rFonts w:cs="Arial" w:ascii="Times New Roman" w:hAnsi="Times New Roman"/>
          <w:i/>
          <w:iCs/>
          <w:sz w:val="24"/>
        </w:rPr>
        <w:t xml:space="preserve"> </w:t>
      </w:r>
      <w:r>
        <w:rPr>
          <w:rFonts w:cs="Arial" w:ascii="Times New Roman" w:hAnsi="Times New Roman"/>
          <w:color w:val="000000"/>
          <w:sz w:val="24"/>
        </w:rPr>
        <w:t>R$ 1,00.</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Durante o procedimento, os fornecedores serão informados, em tempo real, do valor do menor lance ou do maior desconto registrado, vedada a identificação do fornecedor.</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O encerramento da fase de lances ocorrerá de forma automática pontualmente no horário indicado, sem qualquer possibilidade de prorrogação e não havendo tempo aleatório ou mecanismo similar.</w:t>
      </w:r>
    </w:p>
    <w:p>
      <w:pPr>
        <w:pStyle w:val="Heading1"/>
        <w:numPr>
          <w:ilvl w:val="0"/>
          <w:numId w:val="1"/>
        </w:numPr>
        <w:rPr>
          <w:rFonts w:ascii="Times New Roman" w:hAnsi="Times New Roman"/>
          <w:sz w:val="24"/>
        </w:rPr>
      </w:pPr>
      <w:bookmarkStart w:id="4" w:name="_Toc142925865"/>
      <w:r>
        <w:rPr>
          <w:rFonts w:ascii="Times New Roman" w:hAnsi="Times New Roman"/>
          <w:sz w:val="24"/>
        </w:rPr>
        <w:t xml:space="preserve">JULGAMENTO E ACEITAÇÃO DAS PROPOSTAS </w:t>
      </w:r>
      <w:bookmarkEnd w:id="4"/>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rPr>
        <w:t xml:space="preserve">Encerrada a fase de lances, </w:t>
      </w:r>
      <w:r>
        <w:rPr>
          <w:rFonts w:ascii="Times New Roman" w:hAnsi="Times New Roman"/>
          <w:sz w:val="24"/>
        </w:rPr>
        <w:t>quando a</w:t>
      </w:r>
      <w:r>
        <w:rPr>
          <w:rFonts w:cs="Arial" w:ascii="Times New Roman" w:hAnsi="Times New Roman"/>
          <w:sz w:val="24"/>
        </w:rPr>
        <w:t xml:space="preserve"> proposta do primeiro colocado permanecer acima do preço máximo ou abaixo do desconto definido para a contratação, o pregoeiro poderá negociar condições mais vantajosas. </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Neste caso, será encaminhada contraproposta ao fornecedor que tenha apresentado o menor preço ou o maior desconto, para que seja obtida a melhor proposta compatível em relação ao estipulado pela Administração.</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 xml:space="preserve">A negociação poderá ser feita com os demais fornecedores classificados, </w:t>
      </w:r>
      <w:r>
        <w:rPr>
          <w:rFonts w:ascii="Times New Roman" w:hAnsi="Times New Roman"/>
          <w:sz w:val="24"/>
          <w:shd w:fill="FFFFFF" w:val="clear"/>
        </w:rPr>
        <w:t>exclusivamente por meio do sistema,</w:t>
      </w:r>
      <w:r>
        <w:rPr>
          <w:rFonts w:cs="Arial" w:ascii="Times New Roman" w:hAnsi="Times New Roman"/>
          <w:sz w:val="24"/>
        </w:rPr>
        <w:t xml:space="preserve"> respeitada a ordem de classificação, quando o primeiro colocado, mesmo após a negociação, for desclassificado em razão de sua proposta permanecer acima do preço máximo ou abaixo do desconto definido para a contratação.</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rPr>
        <w:t xml:space="preserve">Em qualquer caso, concluída a negociação, se houver, o resultado será divulgado a todos e registrado na ata do procedimento da dispensa eletrônica, </w:t>
      </w:r>
      <w:r>
        <w:rPr>
          <w:rFonts w:ascii="Times New Roman" w:hAnsi="Times New Roman"/>
          <w:sz w:val="24"/>
          <w:shd w:fill="FFFFFF" w:val="clear"/>
        </w:rPr>
        <w:t>devendo esta ser anexada aos autos do processo de contratação.</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rPr>
        <w:t>Constatada a compatibilidade entre o valor da proposta e o estipulado para a contratação, será solicitado ao fornecedor o envio d</w:t>
      </w:r>
      <w:r>
        <w:rPr>
          <w:rFonts w:ascii="Times New Roman" w:hAnsi="Times New Roman"/>
          <w:sz w:val="24"/>
        </w:rPr>
        <w:t xml:space="preserve">a proposta adequada ao último lance ofertado ou </w:t>
      </w:r>
      <w:r>
        <w:rPr>
          <w:rFonts w:cs="Arial" w:ascii="Times New Roman" w:hAnsi="Times New Roman"/>
          <w:sz w:val="24"/>
        </w:rPr>
        <w:t xml:space="preserve">ao valor negociado, se for o caso, acompanhada dos documentos complementares, quando necessários. </w:t>
      </w:r>
    </w:p>
    <w:p>
      <w:pPr>
        <w:pStyle w:val="ListParagraph"/>
        <w:spacing w:lineRule="auto" w:line="276" w:before="120" w:after="120"/>
        <w:ind w:left="1224"/>
        <w:contextualSpacing/>
        <w:jc w:val="both"/>
        <w:rPr>
          <w:rFonts w:cs="Arial"/>
          <w:i/>
          <w:i/>
          <w:iCs/>
          <w:color w:val="FF0000"/>
        </w:rPr>
      </w:pPr>
      <w:r>
        <w:rPr>
          <w:rFonts w:cs="Arial"/>
          <w:i/>
          <w:iCs/>
          <w:color w:val="FF0000"/>
        </w:rPr>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rPr>
        <w:t xml:space="preserve">Encerrada a etapa de negociação, se houver, o pregoeiro verificará se o fornecedor provisoriamente classificado em primeiro lugar atende às condições de participação no certame, conforme previsto no art. 14 da Lei nº 14.133/2021, legislação correlata e nos itens </w:t>
      </w:r>
      <w:r>
        <w:rPr>
          <w:rFonts w:cs="Arial" w:ascii="Times New Roman" w:hAnsi="Times New Roman"/>
          <w:sz w:val="24"/>
        </w:rPr>
        <w:fldChar w:fldCharType="begin"/>
      </w:r>
      <w:r>
        <w:rPr>
          <w:sz w:val="24"/>
          <w:rFonts w:cs="Arial" w:ascii="Times New Roman" w:hAnsi="Times New Roman"/>
        </w:rPr>
        <w:instrText xml:space="preserve"> REF _Ref144286315 \r \h </w:instrText>
      </w:r>
      <w:r>
        <w:rPr>
          <w:sz w:val="24"/>
          <w:rFonts w:cs="Arial" w:ascii="Times New Roman" w:hAnsi="Times New Roman"/>
        </w:rPr>
        <w:fldChar w:fldCharType="separate"/>
      </w:r>
      <w:r>
        <w:rPr>
          <w:sz w:val="24"/>
          <w:rFonts w:cs="Arial" w:ascii="Times New Roman" w:hAnsi="Times New Roman"/>
        </w:rPr>
        <w:t>2.3</w:t>
      </w:r>
      <w:r>
        <w:rPr>
          <w:sz w:val="24"/>
          <w:rFonts w:cs="Arial" w:ascii="Times New Roman" w:hAnsi="Times New Roman"/>
        </w:rPr>
        <w:fldChar w:fldCharType="end"/>
      </w:r>
      <w:r>
        <w:rPr>
          <w:rFonts w:cs="Arial" w:ascii="Times New Roman" w:hAnsi="Times New Roman"/>
          <w:sz w:val="24"/>
        </w:rPr>
        <w:t xml:space="preserve"> e seguintes deste Aviso, especialmente quanto à existência de sanção que impeça a participação </w:t>
      </w:r>
      <w:r>
        <w:rPr>
          <w:rFonts w:cs="Arial" w:ascii="Times New Roman" w:hAnsi="Times New Roman"/>
          <w:sz w:val="24"/>
          <w:lang w:eastAsia="ar-SA"/>
        </w:rPr>
        <w:t xml:space="preserve">no processo de contratação direta </w:t>
      </w:r>
      <w:r>
        <w:rPr>
          <w:rFonts w:cs="Arial" w:ascii="Times New Roman" w:hAnsi="Times New Roman"/>
          <w:sz w:val="24"/>
        </w:rPr>
        <w:t>ou a futura contratação, mediante a consulta aos seguintes cadastros:</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 xml:space="preserve">SICAF;  </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 xml:space="preserve">Cadastro Nacional de Empresas Inidôneas e Suspensas - CEIS, mantido pela Controladoria-Geral da União (https://www.portaltransparencia.gov.br/sancoes/ceis); e </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Cadastro Nacional de Empresas Punidas – CNEP, mantido pela Controladoria-Geral da União (https://www.portaltransparencia</w:t>
      </w:r>
      <w:r>
        <w:rPr>
          <w:rFonts w:cs="Arial" w:ascii="Times New Roman" w:hAnsi="Times New Roman"/>
          <w:sz w:val="24"/>
        </w:rPr>
        <w:t xml:space="preserve">.gov.br/sancoes/cnep). </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rPr>
        <w:t>A consulta aos cadastros será realizada em nome da empresa fornecedora e também de seu sócio majoritário, por força da vedação de que trata o artigo 12 da Lei n° 8.429, de 1992.</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 xml:space="preserve">A tentativa de burla será verificada por meio dos vínculos societários, linhas de fornecimento </w:t>
      </w:r>
      <w:r>
        <w:rPr>
          <w:rFonts w:cs="Arial" w:ascii="Times New Roman" w:hAnsi="Times New Roman"/>
          <w:color w:val="000000"/>
          <w:sz w:val="24"/>
        </w:rPr>
        <w:t>similares</w:t>
      </w:r>
      <w:r>
        <w:rPr>
          <w:rFonts w:cs="Arial" w:ascii="Times New Roman" w:hAnsi="Times New Roman"/>
          <w:sz w:val="24"/>
        </w:rPr>
        <w:t>, dentre outros. (IN nº 3/2018, art. 29, §1º).</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 xml:space="preserve">O </w:t>
      </w:r>
      <w:r>
        <w:rPr>
          <w:rFonts w:cs="Arial" w:ascii="Times New Roman" w:hAnsi="Times New Roman"/>
          <w:color w:themeColor="dark1" w:val="000000"/>
          <w:sz w:val="24"/>
        </w:rPr>
        <w:t>fornecedor</w:t>
      </w:r>
      <w:r>
        <w:rPr>
          <w:rFonts w:cs="Arial" w:ascii="Times New Roman" w:hAnsi="Times New Roman"/>
          <w:sz w:val="24"/>
        </w:rPr>
        <w:t xml:space="preserve"> </w:t>
      </w:r>
      <w:r>
        <w:rPr>
          <w:rFonts w:cs="Arial" w:ascii="Times New Roman" w:hAnsi="Times New Roman"/>
          <w:color w:val="000000"/>
          <w:sz w:val="24"/>
        </w:rPr>
        <w:t>será</w:t>
      </w:r>
      <w:r>
        <w:rPr>
          <w:rFonts w:cs="Arial" w:ascii="Times New Roman" w:hAnsi="Times New Roman"/>
          <w:sz w:val="24"/>
        </w:rPr>
        <w:t xml:space="preserve"> convocado para manifestação previamente a uma eventual desclassificação. (IN nº 3/2018, art. 29, §2º).</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 xml:space="preserve">Constatada a existência de sanção, o </w:t>
      </w:r>
      <w:r>
        <w:rPr>
          <w:rFonts w:cs="Arial" w:ascii="Times New Roman" w:hAnsi="Times New Roman"/>
          <w:color w:themeColor="dark1" w:val="000000"/>
          <w:sz w:val="24"/>
        </w:rPr>
        <w:t>fornecedor</w:t>
      </w:r>
      <w:r>
        <w:rPr>
          <w:rFonts w:cs="Arial" w:ascii="Times New Roman" w:hAnsi="Times New Roman"/>
          <w:sz w:val="24"/>
        </w:rPr>
        <w:t xml:space="preserve"> será reputado inabilitado, por falta de condição de participação.</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 xml:space="preserve">Será desclassificada a proposta vencedora que: </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contiver vícios insanáveis</w:t>
      </w:r>
      <w:r>
        <w:rPr>
          <w:rFonts w:cs="Arial" w:ascii="Times New Roman" w:hAnsi="Times New Roman"/>
          <w:iCs/>
          <w:color w:themeColor="dark1" w:val="000000"/>
          <w:sz w:val="24"/>
        </w:rPr>
        <w:t>;</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não obedecer às especificações técnicas pormenorizadas neste aviso ou em seus anexos</w:t>
      </w:r>
      <w:r>
        <w:rPr>
          <w:rFonts w:cs="Arial" w:ascii="Times New Roman" w:hAnsi="Times New Roman"/>
          <w:iCs/>
          <w:color w:themeColor="dark1" w:val="000000"/>
          <w:sz w:val="24"/>
        </w:rPr>
        <w:t>;</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apresentar preços inexequíveis</w:t>
      </w:r>
      <w:r>
        <w:rPr>
          <w:rFonts w:cs="Arial" w:ascii="Times New Roman" w:hAnsi="Times New Roman"/>
          <w:color w:val="000000"/>
          <w:sz w:val="24"/>
        </w:rPr>
        <w:t>;</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não tiver sua exequibilidade demonstrada, quando exigido pela Administração</w:t>
      </w:r>
      <w:r>
        <w:rPr>
          <w:rFonts w:cs="Arial" w:ascii="Times New Roman" w:hAnsi="Times New Roman"/>
          <w:iCs/>
          <w:color w:themeColor="dark1" w:val="000000"/>
          <w:sz w:val="24"/>
        </w:rPr>
        <w:t>;</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Quando</w:t>
      </w:r>
      <w:r>
        <w:rPr>
          <w:rFonts w:cs="Arial" w:ascii="Times New Roman" w:hAnsi="Times New Roman"/>
          <w:sz w:val="24"/>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sz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hanging="432" w:left="716" w:right="-15"/>
        <w:contextualSpacing/>
        <w:jc w:val="both"/>
        <w:rPr>
          <w:rFonts w:ascii="Times New Roman" w:hAnsi="Times New Roman"/>
          <w:sz w:val="24"/>
        </w:rPr>
      </w:pPr>
      <w:r>
        <w:rPr>
          <w:rFonts w:cs="Arial" w:ascii="Times New Roman" w:hAnsi="Times New Roman"/>
          <w:color w:themeColor="dark1" w:val="000000"/>
          <w:sz w:val="24"/>
          <w:lang w:eastAsia="en-US"/>
        </w:rPr>
        <w:t xml:space="preserve">Se houver indícios de inexequibilidade da proposta de preço, ou em caso da necessidade de esclarecimentos </w:t>
      </w:r>
      <w:r>
        <w:rPr>
          <w:rFonts w:cs="Arial" w:ascii="Times New Roman" w:hAnsi="Times New Roman"/>
          <w:sz w:val="24"/>
        </w:rPr>
        <w:t>complementares</w:t>
      </w:r>
      <w:r>
        <w:rPr>
          <w:rFonts w:cs="Arial" w:ascii="Times New Roman" w:hAnsi="Times New Roman"/>
          <w:color w:themeColor="dark1" w:val="000000"/>
          <w:sz w:val="24"/>
          <w:lang w:eastAsia="en-US"/>
        </w:rPr>
        <w:t xml:space="preserve">, poderão ser efetuadas diligências, para que o fornecedor comprove a exequibilidade da proposta.  </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 xml:space="preserve">Erros no preenchimento da planilha não constituem motivo para a desclassificação da proposta. A planilha </w:t>
      </w:r>
      <w:r>
        <w:rPr>
          <w:rFonts w:cs="Arial" w:ascii="Times New Roman" w:hAnsi="Times New Roman"/>
          <w:sz w:val="24"/>
        </w:rPr>
        <w:t>poderá</w:t>
      </w:r>
      <w:r>
        <w:rPr>
          <w:rFonts w:cs="Arial" w:ascii="Times New Roman" w:hAnsi="Times New Roman"/>
          <w:color w:themeColor="dark1" w:val="000000"/>
          <w:sz w:val="24"/>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lang w:eastAsia="en-US"/>
        </w:rPr>
        <w:t>Encerrada a análise quanto à aceitação da proposta, será iniciada a fase de habilitação, observado o disposto neste Aviso de Contratação Direta.</w:t>
      </w:r>
    </w:p>
    <w:p>
      <w:pPr>
        <w:pStyle w:val="Heading1"/>
        <w:numPr>
          <w:ilvl w:val="0"/>
          <w:numId w:val="1"/>
        </w:numPr>
        <w:rPr>
          <w:rFonts w:ascii="Times New Roman" w:hAnsi="Times New Roman"/>
          <w:sz w:val="24"/>
        </w:rPr>
      </w:pPr>
      <w:bookmarkStart w:id="5" w:name="_Toc142925866"/>
      <w:r>
        <w:rPr>
          <w:rFonts w:ascii="Times New Roman" w:hAnsi="Times New Roman"/>
          <w:sz w:val="24"/>
        </w:rPr>
        <w:t>HABILITAÇÃO</w:t>
      </w:r>
      <w:bookmarkEnd w:id="5"/>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lang w:eastAsia="ar-SA"/>
        </w:rPr>
        <w:t xml:space="preserve">Os </w:t>
      </w:r>
      <w:r>
        <w:rPr>
          <w:rFonts w:cs="Arial" w:ascii="Times New Roman" w:hAnsi="Times New Roman"/>
          <w:color w:val="000000"/>
          <w:sz w:val="24"/>
        </w:rPr>
        <w:t>documentos</w:t>
      </w:r>
      <w:r>
        <w:rPr>
          <w:rFonts w:cs="Arial" w:ascii="Times New Roman" w:hAnsi="Times New Roman"/>
          <w:sz w:val="24"/>
          <w:lang w:eastAsia="ar-SA"/>
        </w:rPr>
        <w:t xml:space="preserve"> a serem exigidos para fins de habilitação, </w:t>
      </w:r>
      <w:r>
        <w:rPr>
          <w:rFonts w:cs="Arial" w:ascii="Times New Roman" w:hAnsi="Times New Roman"/>
          <w:b/>
          <w:sz w:val="24"/>
          <w:lang w:eastAsia="ar-SA"/>
        </w:rPr>
        <w:t>nos termos dos arts. 62 a 70 da Lei nº 14.133, de 2021,</w:t>
      </w:r>
      <w:r>
        <w:rPr>
          <w:rFonts w:cs="Arial" w:ascii="Times New Roman" w:hAnsi="Times New Roman"/>
          <w:sz w:val="24"/>
          <w:lang w:eastAsia="ar-SA"/>
        </w:rPr>
        <w:t xml:space="preserve"> constam do Termo de Referência e serão solicitados do fornecedor mais bem classificado na fase de lances.</w:t>
      </w:r>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sz w:val="24"/>
        </w:rPr>
        <w:t>A habilitação dos fornecedores será verificada por meio do SICAF, nos documentos por ele abrangidos</w:t>
      </w:r>
      <w:r>
        <w:rPr>
          <w:rFonts w:cs="Arial" w:ascii="Times New Roman" w:hAnsi="Times New Roman"/>
          <w:color w:themeColor="dark1" w:val="000000"/>
          <w:sz w:val="24"/>
        </w:rPr>
        <w:t>.</w:t>
      </w:r>
    </w:p>
    <w:p>
      <w:pPr>
        <w:pStyle w:val="Normal"/>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rPr>
        <w:t>É dever do fornecedor atualizar previamente as comprovações constantes do SICAF para que estejam vigentes na data da abertura da sessão pública, ou encaminhar, quando solicitado, a respectiva documentação atualizada.</w:t>
      </w:r>
    </w:p>
    <w:p>
      <w:pPr>
        <w:pStyle w:val="Normal"/>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rPr>
        <w:t>O descumprimento do subitem acima implicará a inabilitação do fornecedor, exceto se a consulta aos sítios eletrônicos oficiais emissores de certidões lograr êxito em encontrar a(s) certidão(ões) válida(s).</w:t>
      </w:r>
    </w:p>
    <w:p>
      <w:pPr>
        <w:pStyle w:val="Normal"/>
        <w:numPr>
          <w:ilvl w:val="1"/>
          <w:numId w:val="1"/>
        </w:numPr>
        <w:spacing w:lineRule="auto" w:line="276" w:before="120" w:after="120"/>
        <w:contextualSpacing/>
        <w:jc w:val="both"/>
        <w:rPr/>
      </w:pPr>
      <w:r>
        <w:rPr>
          <w:rFonts w:cs="Arial" w:ascii="Times New Roman" w:hAnsi="Times New Roman"/>
          <w:color w:themeColor="dark1" w:val="000000"/>
          <w:sz w:val="24"/>
        </w:rPr>
        <w:t>Na hipótese de necessidade de envio de documentos complementares, indispensáveis à confirmação dos já apresentados para a habilitação, ou de documentos não constantes do SICAF, o fornecedor será convocado a encaminhá-los, em formato digital, por meio do sistema, no prazo de</w:t>
      </w:r>
      <w:r>
        <w:rPr>
          <w:rFonts w:cs="Arial" w:ascii="Times New Roman" w:hAnsi="Times New Roman"/>
          <w:color w:val="000000"/>
          <w:sz w:val="24"/>
        </w:rPr>
        <w:t xml:space="preserve"> </w:t>
      </w:r>
      <w:r>
        <w:rPr>
          <w:rFonts w:cs="Arial" w:ascii="Times New Roman" w:hAnsi="Times New Roman"/>
          <w:b/>
          <w:bCs/>
          <w:color w:val="000000"/>
          <w:sz w:val="24"/>
        </w:rPr>
        <w:t>2 (duas) horas</w:t>
      </w:r>
      <w:r>
        <w:rPr>
          <w:rFonts w:cs="Arial" w:ascii="Times New Roman" w:hAnsi="Times New Roman"/>
          <w:color w:themeColor="dark1" w:val="000000"/>
          <w:sz w:val="24"/>
        </w:rPr>
        <w:t xml:space="preserve"> sob pena de inabilitação. (</w:t>
      </w:r>
      <w:r>
        <w:fldChar w:fldCharType="begin"/>
      </w:r>
      <w:r>
        <w:rPr>
          <w:rStyle w:val="Hyperlink"/>
          <w:sz w:val="24"/>
          <w:rFonts w:cs="Arial" w:ascii="Times New Roman" w:hAnsi="Times New Roman"/>
        </w:rPr>
        <w:instrText xml:space="preserve"> HYPERLINK "https://www.in.gov.br/en/web/dou/-/instrucao-normativa-seges/me-n-67-de-8-de-julho-de-2021-330985107" \l "art19§3"</w:instrText>
      </w:r>
      <w:r>
        <w:rPr>
          <w:rStyle w:val="Hyperlink"/>
          <w:sz w:val="24"/>
          <w:rFonts w:cs="Arial" w:ascii="Times New Roman" w:hAnsi="Times New Roman"/>
        </w:rPr>
        <w:fldChar w:fldCharType="separate"/>
      </w:r>
      <w:r>
        <w:rPr>
          <w:rStyle w:val="Hyperlink"/>
          <w:rFonts w:cs="Arial" w:ascii="Times New Roman" w:hAnsi="Times New Roman"/>
          <w:sz w:val="24"/>
        </w:rPr>
        <w:t>art. 19, § 3º, da IN Seges/ME nº 67, de 2021</w:t>
      </w:r>
      <w:r>
        <w:rPr>
          <w:rStyle w:val="Hyperlink"/>
          <w:sz w:val="24"/>
          <w:rFonts w:cs="Arial" w:ascii="Times New Roman" w:hAnsi="Times New Roman"/>
        </w:rPr>
        <w:fldChar w:fldCharType="end"/>
      </w:r>
      <w:r>
        <w:rPr>
          <w:rFonts w:cs="Arial" w:ascii="Times New Roman" w:hAnsi="Times New Roman"/>
          <w:color w:themeColor="dark1" w:val="000000"/>
          <w:sz w:val="24"/>
        </w:rPr>
        <w:t>).</w:t>
      </w:r>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rPr>
        <w:t>Somente haverá a necessidade de comprovação do preenchimento de requisitos mediante apresentação dos documentos originais não-digitais quando houver dúvida em relação à integridade do documento digital.</w:t>
      </w:r>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rPr>
        <w:t>Não serão aceitos documentos de habilitação com indicação de CNPJ/CPF diferentes, salvo aqueles legalmente permitidos.</w:t>
      </w:r>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themeColor="dark1" w:val="000000"/>
          <w:sz w:val="24"/>
        </w:rPr>
        <w:t>Serão aceitos registros de CNPJ de fornecedor matriz e filial com diferenças de números de documentos pertinentes ao CND e ao CRF/FGTS, quando for comprovada a centralização do recolhimento dessas contribuições.</w:t>
      </w:r>
    </w:p>
    <w:p>
      <w:pPr>
        <w:pStyle w:val="Normal"/>
        <w:numPr>
          <w:ilvl w:val="1"/>
          <w:numId w:val="1"/>
        </w:numPr>
        <w:spacing w:lineRule="auto" w:line="276" w:before="120" w:after="120"/>
        <w:contextualSpacing/>
        <w:jc w:val="both"/>
        <w:rPr>
          <w:rFonts w:ascii="Times New Roman" w:hAnsi="Times New Roman"/>
          <w:color w:val="000000"/>
          <w:sz w:val="24"/>
        </w:rPr>
      </w:pPr>
      <w:r>
        <w:rPr>
          <w:rFonts w:cs="Arial" w:ascii="Times New Roman" w:hAnsi="Times New Roman"/>
          <w:color w:val="000000"/>
          <w:sz w:val="24"/>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numPr>
          <w:ilvl w:val="2"/>
          <w:numId w:val="1"/>
        </w:numPr>
        <w:spacing w:lineRule="auto" w:line="276" w:before="120" w:after="120"/>
        <w:contextualSpacing/>
        <w:jc w:val="both"/>
        <w:rPr>
          <w:rFonts w:ascii="Times New Roman" w:hAnsi="Times New Roman"/>
          <w:color w:val="000000"/>
          <w:sz w:val="24"/>
        </w:rPr>
      </w:pPr>
      <w:r>
        <w:rPr>
          <w:rFonts w:cs="Arial" w:ascii="Times New Roman" w:hAnsi="Times New Roman"/>
          <w:color w:val="000000"/>
          <w:sz w:val="24"/>
        </w:rPr>
        <w:t>Não havendo a comprovação cumulativa dos requisitos de habilitação, a inabilitação recairá sobre o(s) item(ns) de menor(es) valor(es) cuja retirada(s) seja(m) suficiente(s) para a habilitação do fornecedor nos remanescentes.</w:t>
      </w:r>
    </w:p>
    <w:p>
      <w:pPr>
        <w:pStyle w:val="Normal"/>
        <w:spacing w:lineRule="auto" w:line="276" w:before="120" w:after="120"/>
        <w:ind w:left="1224"/>
        <w:contextualSpacing/>
        <w:jc w:val="both"/>
        <w:rPr>
          <w:rFonts w:ascii="Times New Roman" w:hAnsi="Times New Roman" w:cs="Arial"/>
          <w:i/>
          <w:i/>
          <w:color w:val="FF0000"/>
          <w:sz w:val="24"/>
        </w:rPr>
      </w:pPr>
      <w:r>
        <w:rPr>
          <w:rFonts w:cs="Arial" w:ascii="Times New Roman" w:hAnsi="Times New Roman"/>
          <w:i/>
          <w:color w:val="FF0000"/>
          <w:sz w:val="24"/>
        </w:rPr>
      </w:r>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bCs/>
          <w:sz w:val="24"/>
        </w:rPr>
        <w:t xml:space="preserve">Havendo </w:t>
      </w:r>
      <w:r>
        <w:rPr>
          <w:rFonts w:cs="Arial" w:ascii="Times New Roman" w:hAnsi="Times New Roman"/>
          <w:iCs/>
          <w:sz w:val="24"/>
        </w:rPr>
        <w:t>necessidade</w:t>
      </w:r>
      <w:r>
        <w:rPr>
          <w:rFonts w:cs="Arial" w:ascii="Times New Roman" w:hAnsi="Times New Roman"/>
          <w:bCs/>
          <w:sz w:val="24"/>
        </w:rPr>
        <w:t xml:space="preserve"> de analisar minuciosamente os documentos exigidos, a sessão será suspensa, sendo informada a nova data e horário para a sua continuidade.</w:t>
      </w:r>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 xml:space="preserve">Será inabilitado o fornecedor que não comprovar sua habilitação, seja por não apresentar </w:t>
      </w:r>
      <w:r>
        <w:rPr>
          <w:rFonts w:cs="Arial" w:ascii="Times New Roman" w:hAnsi="Times New Roman"/>
          <w:iCs/>
          <w:sz w:val="24"/>
        </w:rPr>
        <w:t>quaisquer</w:t>
      </w:r>
      <w:r>
        <w:rPr>
          <w:rFonts w:cs="Arial" w:ascii="Times New Roman" w:hAnsi="Times New Roman"/>
          <w:color w:val="000000"/>
          <w:sz w:val="24"/>
        </w:rPr>
        <w:t xml:space="preserve"> dos </w:t>
      </w:r>
      <w:r>
        <w:rPr>
          <w:rFonts w:cs="Arial" w:ascii="Times New Roman" w:hAnsi="Times New Roman"/>
          <w:bCs/>
          <w:sz w:val="24"/>
        </w:rPr>
        <w:t>documentos</w:t>
      </w:r>
      <w:r>
        <w:rPr>
          <w:rFonts w:cs="Arial" w:ascii="Times New Roman" w:hAnsi="Times New Roman"/>
          <w:color w:val="000000"/>
          <w:sz w:val="24"/>
        </w:rPr>
        <w:t xml:space="preserve"> exigidos, ou apresentá-los em desacordo com o estabelecido neste Aviso de Contratação Direta.</w:t>
      </w:r>
    </w:p>
    <w:p>
      <w:pPr>
        <w:pStyle w:val="Normal"/>
        <w:numPr>
          <w:ilvl w:val="2"/>
          <w:numId w:val="1"/>
        </w:numPr>
        <w:spacing w:lineRule="auto" w:line="276" w:before="120" w:after="120"/>
        <w:contextualSpacing/>
        <w:jc w:val="both"/>
        <w:rPr>
          <w:rFonts w:ascii="Times New Roman" w:hAnsi="Times New Roman"/>
          <w:sz w:val="24"/>
        </w:rPr>
      </w:pPr>
      <w:r>
        <w:rPr>
          <w:rFonts w:cs="Arial" w:ascii="Times New Roman" w:hAnsi="Times New Roman"/>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numPr>
          <w:ilvl w:val="1"/>
          <w:numId w:val="1"/>
        </w:numPr>
        <w:spacing w:lineRule="auto" w:line="276" w:before="120" w:after="120"/>
        <w:contextualSpacing/>
        <w:jc w:val="both"/>
        <w:rPr>
          <w:rFonts w:ascii="Times New Roman" w:hAnsi="Times New Roman"/>
          <w:sz w:val="24"/>
        </w:rPr>
      </w:pPr>
      <w:r>
        <w:rPr>
          <w:rFonts w:cs="Arial" w:ascii="Times New Roman" w:hAnsi="Times New Roman"/>
          <w:iCs/>
          <w:sz w:val="24"/>
        </w:rPr>
        <w:t>Constatado o atendimento às exigências de habilitação, o fornecedor será habilitado.</w:t>
      </w:r>
    </w:p>
    <w:p>
      <w:pPr>
        <w:pStyle w:val="Heading1"/>
        <w:numPr>
          <w:ilvl w:val="0"/>
          <w:numId w:val="0"/>
        </w:numPr>
        <w:ind w:hanging="0" w:left="360"/>
        <w:rPr>
          <w:i/>
          <w:i/>
          <w:iCs/>
          <w:color w:val="FF0000"/>
          <w:shd w:fill="00FFFF" w:val="clear"/>
        </w:rPr>
      </w:pPr>
      <w:r>
        <w:rPr>
          <w:i/>
          <w:iCs/>
          <w:color w:val="FF0000"/>
          <w:shd w:fill="00FFFF" w:val="clear"/>
        </w:rPr>
      </w:r>
    </w:p>
    <w:p>
      <w:pPr>
        <w:pStyle w:val="Heading1"/>
        <w:numPr>
          <w:ilvl w:val="0"/>
          <w:numId w:val="1"/>
        </w:numPr>
        <w:rPr>
          <w:rFonts w:ascii="Times New Roman" w:hAnsi="Times New Roman"/>
          <w:sz w:val="24"/>
        </w:rPr>
      </w:pPr>
      <w:bookmarkStart w:id="6" w:name="_Toc142925869"/>
      <w:r>
        <w:rPr>
          <w:rFonts w:ascii="Times New Roman" w:hAnsi="Times New Roman"/>
          <w:sz w:val="24"/>
        </w:rPr>
        <w:t>CONTRATAÇÃO</w:t>
      </w:r>
      <w:bookmarkEnd w:id="6"/>
    </w:p>
    <w:p>
      <w:pPr>
        <w:pStyle w:val="Normal"/>
        <w:numPr>
          <w:ilvl w:val="1"/>
          <w:numId w:val="1"/>
        </w:numPr>
        <w:spacing w:lineRule="auto" w:line="276" w:before="120" w:after="120"/>
        <w:ind w:hanging="0" w:left="425"/>
        <w:jc w:val="both"/>
        <w:rPr>
          <w:rFonts w:ascii="Times New Roman" w:hAnsi="Times New Roman"/>
          <w:sz w:val="24"/>
        </w:rPr>
      </w:pPr>
      <w:r>
        <w:rPr>
          <w:rFonts w:eastAsia="Arial" w:cs="Arial" w:ascii="Times New Roman" w:hAnsi="Times New Roman"/>
          <w:color w:val="000000"/>
          <w:sz w:val="24"/>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hanging="0" w:left="425"/>
        <w:jc w:val="both"/>
        <w:rPr>
          <w:rFonts w:ascii="Times New Roman" w:hAnsi="Times New Roman"/>
          <w:sz w:val="24"/>
        </w:rPr>
      </w:pPr>
      <w:r>
        <w:rPr>
          <w:rFonts w:eastAsia="Arial" w:cs="Arial" w:ascii="Times New Roman" w:hAnsi="Times New Roman"/>
          <w:color w:val="000000"/>
          <w:sz w:val="24"/>
        </w:rPr>
        <w:t>O adjudicatário terá o prazo de 5 (cinco)</w:t>
      </w:r>
      <w:r>
        <w:rPr>
          <w:rFonts w:eastAsia="Arial" w:cs="Arial" w:ascii="Times New Roman" w:hAnsi="Times New Roman"/>
          <w:i/>
          <w:color w:val="FF0000"/>
          <w:sz w:val="24"/>
        </w:rPr>
        <w:t xml:space="preserve"> </w:t>
      </w:r>
      <w:r>
        <w:rPr>
          <w:rFonts w:eastAsia="Arial" w:cs="Arial" w:ascii="Times New Roman" w:hAnsi="Times New Roman"/>
          <w:color w:val="000000"/>
          <w:sz w:val="24"/>
        </w:rPr>
        <w:t>dias úteis</w:t>
      </w:r>
      <w:r>
        <w:rPr>
          <w:rFonts w:eastAsia="Arial" w:cs="Arial" w:ascii="Times New Roman" w:hAnsi="Times New Roman"/>
          <w:i/>
          <w:color w:val="000000"/>
          <w:sz w:val="24"/>
        </w:rPr>
        <w:t>,</w:t>
      </w:r>
      <w:r>
        <w:rPr>
          <w:rFonts w:eastAsia="Arial" w:cs="Arial" w:ascii="Times New Roman" w:hAnsi="Times New Roman"/>
          <w:color w:val="000000"/>
          <w:sz w:val="24"/>
        </w:rPr>
        <w:t xml:space="preserve"> contados a partir da data de sua convocação, para assinar o </w:t>
      </w:r>
      <w:r>
        <w:rPr>
          <w:rFonts w:eastAsia="Arial" w:cs="Arial" w:ascii="Times New Roman" w:hAnsi="Times New Roman"/>
          <w:b/>
          <w:bCs/>
          <w:color w:val="000000"/>
          <w:sz w:val="24"/>
        </w:rPr>
        <w:t>Contrato ou Nota de Empenho,</w:t>
      </w:r>
      <w:r>
        <w:rPr>
          <w:rFonts w:eastAsia="Arial" w:cs="Arial" w:ascii="Times New Roman" w:hAnsi="Times New Roman"/>
          <w:i/>
          <w:color w:val="FF0000"/>
          <w:sz w:val="24"/>
        </w:rPr>
        <w:t xml:space="preserve"> </w:t>
      </w:r>
      <w:r>
        <w:rPr>
          <w:rFonts w:eastAsia="Arial" w:cs="Arial" w:ascii="Times New Roman" w:hAnsi="Times New Roman"/>
          <w:color w:val="000000"/>
          <w:sz w:val="24"/>
        </w:rPr>
        <w:t xml:space="preserve">sob pena de decair o direito à contratação, sem prejuízo das sanções previstas neste Aviso de Contratação Direta. </w:t>
      </w:r>
    </w:p>
    <w:p>
      <w:pPr>
        <w:pStyle w:val="Normal"/>
        <w:numPr>
          <w:ilvl w:val="2"/>
          <w:numId w:val="1"/>
        </w:numPr>
        <w:spacing w:lineRule="auto" w:line="276" w:before="120" w:after="120"/>
        <w:jc w:val="both"/>
        <w:rPr>
          <w:rFonts w:ascii="Times New Roman" w:hAnsi="Times New Roman"/>
          <w:sz w:val="24"/>
        </w:rPr>
      </w:pPr>
      <w:r>
        <w:rPr>
          <w:rFonts w:eastAsia="Arial" w:cs="Arial" w:ascii="Times New Roman" w:hAnsi="Times New Roman"/>
          <w:color w:val="000000"/>
          <w:sz w:val="24"/>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ascii="Times New Roman" w:hAnsi="Times New Roman"/>
          <w:color w:val="000000"/>
          <w:sz w:val="24"/>
        </w:rPr>
        <w:t>disponibilização de acesso à sistema de processo eletrônico para esse fim ou outro</w:t>
      </w:r>
      <w:r>
        <w:rPr>
          <w:rFonts w:eastAsia="Arial" w:cs="Arial" w:ascii="Times New Roman" w:hAnsi="Times New Roman"/>
          <w:color w:val="000000"/>
          <w:sz w:val="24"/>
        </w:rPr>
        <w:t xml:space="preserve"> meio eletrônico, para que seja assinado e devolvido no prazo de </w:t>
      </w:r>
      <w:r>
        <w:rPr>
          <w:rFonts w:eastAsia="Arial" w:cs="Arial" w:ascii="Times New Roman" w:hAnsi="Times New Roman"/>
          <w:b/>
          <w:bCs/>
          <w:color w:val="000000"/>
          <w:sz w:val="24"/>
        </w:rPr>
        <w:t>5 (cinco)</w:t>
      </w:r>
      <w:r>
        <w:rPr>
          <w:rFonts w:eastAsia="Arial" w:cs="Arial" w:ascii="Times New Roman" w:hAnsi="Times New Roman"/>
          <w:b/>
          <w:bCs/>
          <w:i/>
          <w:color w:val="FF0000"/>
          <w:sz w:val="24"/>
        </w:rPr>
        <w:t xml:space="preserve"> </w:t>
      </w:r>
      <w:r>
        <w:rPr>
          <w:rFonts w:eastAsia="Arial" w:cs="Arial" w:ascii="Times New Roman" w:hAnsi="Times New Roman"/>
          <w:b/>
          <w:bCs/>
          <w:color w:val="000000"/>
          <w:sz w:val="24"/>
        </w:rPr>
        <w:t>dias úteis</w:t>
      </w:r>
      <w:r>
        <w:rPr>
          <w:rFonts w:eastAsia="Arial" w:cs="Arial" w:ascii="Times New Roman" w:hAnsi="Times New Roman"/>
          <w:color w:val="000000"/>
          <w:sz w:val="24"/>
        </w:rPr>
        <w:t>, a contar da data de seu recebimento</w:t>
      </w:r>
      <w:r>
        <w:rPr>
          <w:rFonts w:eastAsia="Arial" w:ascii="Times New Roman" w:hAnsi="Times New Roman"/>
          <w:color w:val="000000"/>
          <w:sz w:val="24"/>
        </w:rPr>
        <w:t xml:space="preserve"> ou da disponibilização do acesso ao sistema de processo eletrônico.</w:t>
      </w:r>
    </w:p>
    <w:p>
      <w:pPr>
        <w:pStyle w:val="Normal"/>
        <w:numPr>
          <w:ilvl w:val="2"/>
          <w:numId w:val="1"/>
        </w:numPr>
        <w:spacing w:lineRule="auto" w:line="276" w:before="120" w:after="120"/>
        <w:jc w:val="both"/>
        <w:rPr>
          <w:rFonts w:ascii="Times New Roman" w:hAnsi="Times New Roman"/>
          <w:sz w:val="24"/>
        </w:rPr>
      </w:pPr>
      <w:r>
        <w:rPr>
          <w:rFonts w:eastAsia="Arial" w:cs="Arial" w:ascii="Times New Roman" w:hAnsi="Times New Roman"/>
          <w:color w:val="000000"/>
          <w:sz w:val="24"/>
        </w:rPr>
        <w:t>O prazo previsto no subitem anterior poderá ser prorrogado, por igual período, por solicitação justificada do adjudicatário e aceita pela Administração.</w:t>
      </w:r>
    </w:p>
    <w:p>
      <w:pPr>
        <w:pStyle w:val="Normal"/>
        <w:numPr>
          <w:ilvl w:val="1"/>
          <w:numId w:val="1"/>
        </w:numPr>
        <w:spacing w:lineRule="auto" w:line="276" w:before="120" w:after="120"/>
        <w:ind w:hanging="0" w:left="425"/>
        <w:jc w:val="both"/>
        <w:rPr>
          <w:rFonts w:ascii="Times New Roman" w:hAnsi="Times New Roman"/>
          <w:color w:val="000000"/>
          <w:sz w:val="24"/>
        </w:rPr>
      </w:pPr>
      <w:r>
        <w:rPr>
          <w:rFonts w:eastAsia="Arial" w:cs="Arial" w:ascii="Times New Roman" w:hAnsi="Times New Roman"/>
          <w:color w:val="000000"/>
          <w:sz w:val="24"/>
        </w:rPr>
        <w:t>O Aceite da Nota de Empenho ou do instrumento equivalente, emitida ao fornecedor adjudicado, implica o reconhecimento de que:</w:t>
      </w:r>
    </w:p>
    <w:p>
      <w:pPr>
        <w:pStyle w:val="Normal"/>
        <w:numPr>
          <w:ilvl w:val="2"/>
          <w:numId w:val="1"/>
        </w:numPr>
        <w:spacing w:lineRule="auto" w:line="276" w:before="120" w:after="120"/>
        <w:jc w:val="both"/>
        <w:rPr/>
      </w:pPr>
      <w:r>
        <w:rPr>
          <w:rFonts w:eastAsia="Arial" w:cs="Arial" w:ascii="Times New Roman" w:hAnsi="Times New Roman"/>
          <w:color w:val="000000"/>
          <w:sz w:val="24"/>
        </w:rPr>
        <w:t xml:space="preserve">referida Nota está substituindo o contrato, aplicando-se à relação de negócios ali estabelecida as disposições da </w:t>
      </w:r>
      <w:hyperlink r:id="rId10">
        <w:r>
          <w:rPr>
            <w:rStyle w:val="Hyperlink"/>
            <w:rFonts w:eastAsia="Arial" w:cs="Arial" w:ascii="Times New Roman" w:hAnsi="Times New Roman"/>
            <w:color w:val="000000"/>
            <w:sz w:val="24"/>
          </w:rPr>
          <w:t>Lei nº 14.133, de 2021</w:t>
        </w:r>
      </w:hyperlink>
      <w:r>
        <w:rPr>
          <w:rFonts w:eastAsia="Arial" w:cs="Arial" w:ascii="Times New Roman" w:hAnsi="Times New Roman"/>
          <w:color w:val="000000"/>
          <w:sz w:val="24"/>
        </w:rPr>
        <w:t>;</w:t>
      </w:r>
    </w:p>
    <w:p>
      <w:pPr>
        <w:pStyle w:val="Normal"/>
        <w:numPr>
          <w:ilvl w:val="2"/>
          <w:numId w:val="1"/>
        </w:numPr>
        <w:spacing w:lineRule="auto" w:line="276" w:before="120" w:after="120"/>
        <w:jc w:val="both"/>
        <w:rPr>
          <w:rFonts w:ascii="Times New Roman" w:hAnsi="Times New Roman"/>
          <w:color w:val="000000"/>
          <w:sz w:val="24"/>
        </w:rPr>
      </w:pPr>
      <w:r>
        <w:rPr>
          <w:rFonts w:eastAsia="Arial" w:cs="Arial" w:ascii="Times New Roman" w:hAnsi="Times New Roman"/>
          <w:color w:val="000000"/>
          <w:sz w:val="24"/>
        </w:rPr>
        <w:t>a contratada se vincula à sua proposta e às previsões contidas no Aviso de Contratação Direta e seus anexos;</w:t>
      </w:r>
    </w:p>
    <w:p>
      <w:pPr>
        <w:pStyle w:val="Normal"/>
        <w:numPr>
          <w:ilvl w:val="2"/>
          <w:numId w:val="1"/>
        </w:numPr>
        <w:spacing w:lineRule="auto" w:line="276" w:before="120" w:after="120"/>
        <w:jc w:val="both"/>
        <w:rPr/>
      </w:pPr>
      <w:r>
        <w:rPr>
          <w:rFonts w:eastAsia="Arial" w:cs="Arial" w:ascii="Times New Roman" w:hAnsi="Times New Roman"/>
          <w:color w:val="000000"/>
          <w:sz w:val="24"/>
        </w:rPr>
        <w:t xml:space="preserve">a contratada reconhece que as hipóteses de rescisão são aquelas previstas nos </w:t>
      </w:r>
      <w:r>
        <w:fldChar w:fldCharType="begin"/>
      </w:r>
      <w:r>
        <w:rPr>
          <w:rStyle w:val="Hyperlink"/>
          <w:sz w:val="24"/>
          <w:rFonts w:eastAsia="Arial" w:cs="Arial" w:ascii="Times New Roman" w:hAnsi="Times New Roman"/>
          <w:color w:val="000000"/>
        </w:rPr>
        <w:instrText xml:space="preserve"> HYPERLINK "http://www.planalto.gov.br/ccivil_03/_ato2019-2022/2021/lei/L14133.htm" \l "art137"</w:instrText>
      </w:r>
      <w:r>
        <w:rPr>
          <w:rStyle w:val="Hyperlink"/>
          <w:sz w:val="24"/>
          <w:rFonts w:eastAsia="Arial" w:cs="Arial" w:ascii="Times New Roman" w:hAnsi="Times New Roman"/>
          <w:color w:val="000000"/>
        </w:rPr>
        <w:fldChar w:fldCharType="separate"/>
      </w:r>
      <w:r>
        <w:rPr>
          <w:rStyle w:val="Hyperlink"/>
          <w:rFonts w:eastAsia="Arial" w:cs="Arial" w:ascii="Times New Roman" w:hAnsi="Times New Roman"/>
          <w:color w:val="000000"/>
          <w:sz w:val="24"/>
        </w:rPr>
        <w:t>artigos 137 e 138 da Lei nº 14.133, de 2021</w:t>
      </w:r>
      <w:r>
        <w:rPr>
          <w:rStyle w:val="Hyperlink"/>
          <w:sz w:val="24"/>
          <w:rFonts w:eastAsia="Arial" w:cs="Arial" w:ascii="Times New Roman" w:hAnsi="Times New Roman"/>
          <w:color w:val="000000"/>
        </w:rPr>
        <w:fldChar w:fldCharType="end"/>
      </w:r>
      <w:r>
        <w:rPr>
          <w:rFonts w:eastAsia="Arial" w:cs="Arial" w:ascii="Times New Roman" w:hAnsi="Times New Roman"/>
          <w:color w:val="000000"/>
          <w:sz w:val="24"/>
        </w:rPr>
        <w:t xml:space="preserve"> e reconhece os direitos da Administração previstos nos </w:t>
      </w:r>
      <w:r>
        <w:fldChar w:fldCharType="begin"/>
      </w:r>
      <w:r>
        <w:rPr>
          <w:rStyle w:val="Hyperlink"/>
          <w:sz w:val="24"/>
          <w:rFonts w:eastAsia="Arial" w:cs="Arial" w:ascii="Times New Roman" w:hAnsi="Times New Roman"/>
          <w:color w:val="000000"/>
        </w:rPr>
        <w:instrText xml:space="preserve"> HYPERLINK "http://www.planalto.gov.br/ccivil_03/_ato2019-2022/2021/lei/L14133.htm" \l "art137"</w:instrText>
      </w:r>
      <w:r>
        <w:rPr>
          <w:rStyle w:val="Hyperlink"/>
          <w:sz w:val="24"/>
          <w:rFonts w:eastAsia="Arial" w:cs="Arial" w:ascii="Times New Roman" w:hAnsi="Times New Roman"/>
          <w:color w:val="000000"/>
        </w:rPr>
        <w:fldChar w:fldCharType="separate"/>
      </w:r>
      <w:r>
        <w:rPr>
          <w:rStyle w:val="Hyperlink"/>
          <w:rFonts w:eastAsia="Arial" w:cs="Arial" w:ascii="Times New Roman" w:hAnsi="Times New Roman"/>
          <w:color w:val="000000"/>
          <w:sz w:val="24"/>
        </w:rPr>
        <w:t>artigos 137 a 139 da mesma Lei</w:t>
      </w:r>
      <w:r>
        <w:rPr>
          <w:rStyle w:val="Hyperlink"/>
          <w:sz w:val="24"/>
          <w:rFonts w:eastAsia="Arial" w:cs="Arial" w:ascii="Times New Roman" w:hAnsi="Times New Roman"/>
          <w:color w:val="000000"/>
        </w:rPr>
        <w:fldChar w:fldCharType="end"/>
      </w:r>
      <w:r>
        <w:rPr>
          <w:rFonts w:eastAsia="Arial" w:cs="Arial" w:ascii="Times New Roman" w:hAnsi="Times New Roman"/>
          <w:color w:val="000000"/>
          <w:sz w:val="24"/>
        </w:rPr>
        <w:t>.</w:t>
      </w:r>
    </w:p>
    <w:p>
      <w:pPr>
        <w:pStyle w:val="Normal"/>
        <w:numPr>
          <w:ilvl w:val="1"/>
          <w:numId w:val="1"/>
        </w:numPr>
        <w:spacing w:lineRule="auto" w:line="276" w:before="120" w:after="120"/>
        <w:ind w:hanging="0" w:left="425"/>
        <w:jc w:val="both"/>
        <w:rPr>
          <w:rFonts w:ascii="Times New Roman" w:hAnsi="Times New Roman"/>
          <w:sz w:val="24"/>
        </w:rPr>
      </w:pPr>
      <w:r>
        <w:rPr>
          <w:rFonts w:eastAsia="Arial" w:cs="Arial" w:ascii="Times New Roman" w:hAnsi="Times New Roman"/>
          <w:color w:val="000000"/>
          <w:sz w:val="24"/>
        </w:rPr>
        <w:t xml:space="preserve">O prazo de vigência da contratação é o estabelecido no Termo de Referência. </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Na assinatura do contrato ou do instrumento equivalente será exigida a comprovação das condições de habilitação e contratação consignadas neste aviso, que deverão ser mantidas pelo fornecedor durante a vigência do contrato.</w:t>
      </w:r>
    </w:p>
    <w:p>
      <w:pPr>
        <w:pStyle w:val="Heading1"/>
        <w:numPr>
          <w:ilvl w:val="0"/>
          <w:numId w:val="1"/>
        </w:numPr>
        <w:rPr>
          <w:rFonts w:ascii="Times New Roman" w:hAnsi="Times New Roman"/>
          <w:sz w:val="24"/>
        </w:rPr>
      </w:pPr>
      <w:bookmarkStart w:id="7" w:name="_Toc142925870"/>
      <w:r>
        <w:rPr>
          <w:rFonts w:ascii="Times New Roman" w:hAnsi="Times New Roman"/>
          <w:sz w:val="24"/>
        </w:rPr>
        <w:t>INFRAÇÕES E SANÇÕES ADMINISTRATIVAS</w:t>
      </w:r>
      <w:bookmarkEnd w:id="7"/>
    </w:p>
    <w:p>
      <w:pPr>
        <w:pStyle w:val="Normal"/>
        <w:numPr>
          <w:ilvl w:val="1"/>
          <w:numId w:val="1"/>
        </w:numPr>
        <w:spacing w:lineRule="auto" w:line="276" w:before="120" w:after="120"/>
        <w:ind w:hanging="0" w:left="425"/>
        <w:jc w:val="both"/>
        <w:rPr/>
      </w:pPr>
      <w:r>
        <w:rPr>
          <w:rFonts w:cs="Arial" w:ascii="Times New Roman" w:hAnsi="Times New Roman"/>
          <w:sz w:val="24"/>
        </w:rPr>
        <w:t xml:space="preserve">Comete infração administrativa o fornecedor que praticar quaisquer das hipóteses previstas no </w:t>
      </w:r>
      <w:r>
        <w:fldChar w:fldCharType="begin"/>
      </w:r>
      <w:r>
        <w:rPr>
          <w:rStyle w:val="Hyperlink"/>
          <w:sz w:val="24"/>
          <w:rFonts w:cs="Arial" w:ascii="Times New Roman" w:hAnsi="Times New Roman"/>
        </w:rPr>
        <w:instrText xml:space="preserve"> HYPERLINK "http://www.planalto.gov.br/ccivil_03/_ato2019-2022/2021/lei/L14133.htm" \l "art155"</w:instrText>
      </w:r>
      <w:r>
        <w:rPr>
          <w:rStyle w:val="Hyperlink"/>
          <w:sz w:val="24"/>
          <w:rFonts w:cs="Arial" w:ascii="Times New Roman" w:hAnsi="Times New Roman"/>
        </w:rPr>
        <w:fldChar w:fldCharType="separate"/>
      </w:r>
      <w:r>
        <w:rPr>
          <w:rStyle w:val="Hyperlink"/>
          <w:rFonts w:cs="Arial" w:ascii="Times New Roman" w:hAnsi="Times New Roman"/>
          <w:sz w:val="24"/>
        </w:rPr>
        <w:t>art. 155 da Lei nº 14.133, de 2021</w:t>
      </w:r>
      <w:r>
        <w:rPr>
          <w:rStyle w:val="Hyperlink"/>
          <w:sz w:val="24"/>
          <w:rFonts w:cs="Arial" w:ascii="Times New Roman" w:hAnsi="Times New Roman"/>
        </w:rPr>
        <w:fldChar w:fldCharType="end"/>
      </w:r>
      <w:r>
        <w:rPr>
          <w:rFonts w:cs="Arial" w:ascii="Times New Roman" w:hAnsi="Times New Roman"/>
          <w:sz w:val="24"/>
        </w:rPr>
        <w:t xml:space="preserve">, quais sejam: </w:t>
      </w:r>
    </w:p>
    <w:p>
      <w:pPr>
        <w:pStyle w:val="Normal"/>
        <w:numPr>
          <w:ilvl w:val="2"/>
          <w:numId w:val="1"/>
        </w:numPr>
        <w:spacing w:lineRule="auto" w:line="276" w:before="120" w:after="120"/>
        <w:jc w:val="both"/>
        <w:rPr>
          <w:rFonts w:ascii="Times New Roman" w:hAnsi="Times New Roman"/>
          <w:sz w:val="24"/>
        </w:rPr>
      </w:pPr>
      <w:bookmarkStart w:id="8" w:name="_Ref143509900"/>
      <w:r>
        <w:rPr>
          <w:rFonts w:cs="Arial" w:ascii="Times New Roman" w:hAnsi="Times New Roman"/>
          <w:color w:val="000000"/>
          <w:sz w:val="24"/>
        </w:rPr>
        <w:t>dar causa à inexecução parcial do contrato</w:t>
      </w:r>
      <w:r>
        <w:rPr>
          <w:rFonts w:cs="Arial" w:ascii="Times New Roman" w:hAnsi="Times New Roman"/>
          <w:sz w:val="24"/>
        </w:rPr>
        <w:t>;</w:t>
      </w:r>
      <w:bookmarkEnd w:id="8"/>
    </w:p>
    <w:p>
      <w:pPr>
        <w:pStyle w:val="Normal"/>
        <w:numPr>
          <w:ilvl w:val="2"/>
          <w:numId w:val="1"/>
        </w:numPr>
        <w:spacing w:lineRule="auto" w:line="276" w:before="120" w:after="120"/>
        <w:jc w:val="both"/>
        <w:rPr>
          <w:rFonts w:ascii="Times New Roman" w:hAnsi="Times New Roman"/>
          <w:sz w:val="24"/>
        </w:rPr>
      </w:pPr>
      <w:bookmarkStart w:id="9" w:name="_Ref143510015"/>
      <w:r>
        <w:rPr>
          <w:rFonts w:cs="Arial" w:ascii="Times New Roman" w:hAnsi="Times New Roman"/>
          <w:color w:val="000000"/>
          <w:sz w:val="24"/>
        </w:rPr>
        <w:t>dar causa à inexecução parcial do contrato que cause grave dano à Administração, ao funcionamento dos serviços públicos ou ao interesse coletivo;</w:t>
      </w:r>
      <w:bookmarkEnd w:id="9"/>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dar causa à inexecução total do contrato;</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deixar de entregar a documentação exigida para o certame;</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não manter a proposta, salvo em decorrência de fato superveniente devidamente justificado;</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ascii="Times New Roman" w:hAnsi="Times New Roman"/>
          <w:sz w:val="24"/>
        </w:rPr>
      </w:pPr>
      <w:bookmarkStart w:id="10" w:name="_Ref143510046"/>
      <w:r>
        <w:rPr>
          <w:rFonts w:cs="Arial" w:ascii="Times New Roman" w:hAnsi="Times New Roman"/>
          <w:color w:val="000000"/>
          <w:sz w:val="24"/>
        </w:rPr>
        <w:t>ensejar o retardamento da execução ou da entrega do objeto da contratação direta sem motivo justificado;</w:t>
      </w:r>
      <w:bookmarkEnd w:id="10"/>
    </w:p>
    <w:p>
      <w:pPr>
        <w:pStyle w:val="Normal"/>
        <w:numPr>
          <w:ilvl w:val="2"/>
          <w:numId w:val="1"/>
        </w:numPr>
        <w:spacing w:lineRule="auto" w:line="276" w:before="120" w:after="120"/>
        <w:jc w:val="both"/>
        <w:rPr>
          <w:rFonts w:ascii="Times New Roman" w:hAnsi="Times New Roman"/>
          <w:sz w:val="24"/>
        </w:rPr>
      </w:pPr>
      <w:bookmarkStart w:id="11" w:name="_Ref143510088"/>
      <w:r>
        <w:rPr>
          <w:rFonts w:cs="Arial" w:ascii="Times New Roman" w:hAnsi="Times New Roman"/>
          <w:color w:val="000000"/>
          <w:sz w:val="24"/>
        </w:rPr>
        <w:t>apresentar declaração ou documentação falsa exigida para o certame ou prestar declaração falsa durante a dispensa eletrônica ou a execução do contrato;</w:t>
      </w:r>
      <w:bookmarkEnd w:id="11"/>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fraudar a dispensa eletrônica ou praticar ato fraudulento na execução do contrato;</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comportar-se de modo inidôneo ou cometer fraude de qualquer natureza;</w:t>
      </w:r>
    </w:p>
    <w:p>
      <w:pPr>
        <w:pStyle w:val="ListParagraph"/>
        <w:numPr>
          <w:ilvl w:val="3"/>
          <w:numId w:val="1"/>
        </w:numPr>
        <w:spacing w:lineRule="auto" w:line="276" w:before="120" w:after="120"/>
        <w:contextualSpacing/>
        <w:jc w:val="both"/>
        <w:rPr>
          <w:rFonts w:ascii="Times New Roman" w:hAnsi="Times New Roman"/>
          <w:sz w:val="24"/>
        </w:rPr>
      </w:pPr>
      <w:r>
        <w:rPr>
          <w:rFonts w:cs="Arial" w:ascii="Times New Roman" w:hAnsi="Times New Roman"/>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praticar atos ilícitos com vistas a frustrar os objetivos deste certame.</w:t>
      </w:r>
    </w:p>
    <w:p>
      <w:pPr>
        <w:pStyle w:val="Normal"/>
        <w:numPr>
          <w:ilvl w:val="2"/>
          <w:numId w:val="1"/>
        </w:numPr>
        <w:spacing w:lineRule="auto" w:line="276" w:before="120" w:after="120"/>
        <w:jc w:val="both"/>
        <w:rPr/>
      </w:pPr>
      <w:bookmarkStart w:id="12" w:name="_Ref143509952"/>
      <w:bookmarkEnd w:id="12"/>
      <w:r>
        <w:rPr>
          <w:rFonts w:cs="Arial" w:ascii="Times New Roman" w:hAnsi="Times New Roman"/>
          <w:color w:val="000000"/>
          <w:sz w:val="24"/>
        </w:rPr>
        <w:t xml:space="preserve">praticar ato lesivo previsto no </w:t>
      </w:r>
      <w:r>
        <w:fldChar w:fldCharType="begin"/>
      </w:r>
      <w:r>
        <w:rPr>
          <w:rStyle w:val="Hyperlink"/>
          <w:sz w:val="24"/>
          <w:rFonts w:ascii="Times New Roman" w:hAnsi="Times New Roman"/>
        </w:rPr>
        <w:instrText xml:space="preserve"> HYPERLINK "http://www.planalto.gov.br/ccivil_03/_ato2019-2022/2021/lei/L14133.htm" \l "art5"</w:instrText>
      </w:r>
      <w:r>
        <w:rPr>
          <w:rStyle w:val="Hyperlink"/>
          <w:sz w:val="24"/>
          <w:rFonts w:ascii="Times New Roman" w:hAnsi="Times New Roman"/>
        </w:rPr>
        <w:fldChar w:fldCharType="separate"/>
      </w:r>
      <w:r>
        <w:rPr>
          <w:rStyle w:val="Hyperlink"/>
          <w:rFonts w:ascii="Times New Roman" w:hAnsi="Times New Roman"/>
          <w:sz w:val="24"/>
        </w:rPr>
        <w:t>art. 5º da Lei nº 12.846, de 1º de agosto de 2013.</w:t>
      </w:r>
      <w:r>
        <w:rPr>
          <w:rStyle w:val="Hyperlink"/>
          <w:sz w:val="24"/>
          <w:rFonts w:ascii="Times New Roman" w:hAnsi="Times New Roman"/>
        </w:rPr>
        <w:fldChar w:fldCharType="end"/>
      </w:r>
    </w:p>
    <w:p>
      <w:pPr>
        <w:pStyle w:val="Normal"/>
        <w:numPr>
          <w:ilvl w:val="1"/>
          <w:numId w:val="1"/>
        </w:numPr>
        <w:spacing w:lineRule="auto" w:line="276" w:before="120" w:after="120"/>
        <w:ind w:hanging="0" w:left="425"/>
        <w:jc w:val="both"/>
        <w:rPr/>
      </w:pPr>
      <w:r>
        <w:fldChar w:fldCharType="begin"/>
      </w:r>
      <w:r>
        <w:rPr>
          <w:sz w:val="24"/>
          <w:rFonts w:cs="Arial" w:ascii="Times New Roman" w:hAnsi="Times New Roman"/>
        </w:rPr>
        <w:instrText xml:space="preserve"> HYPERLINK "http://www.planalto.gov.br/ccivil_03/_ato2019-2022/2021/lei/L14133.htm" \l "art5"</w:instrText>
      </w:r>
      <w:r>
        <w:rPr>
          <w:sz w:val="24"/>
          <w:rFonts w:cs="Arial" w:ascii="Times New Roman" w:hAnsi="Times New Roman"/>
        </w:rPr>
        <w:fldChar w:fldCharType="separate"/>
      </w:r>
      <w:bookmarkStart w:id="13" w:name="_Ref143509952_Copia_1"/>
      <w:bookmarkEnd w:id="13"/>
      <w:r>
        <w:rPr>
          <w:rFonts w:cs="Arial" w:ascii="Times New Roman" w:hAnsi="Times New Roman"/>
          <w:sz w:val="24"/>
        </w:rPr>
        <w:t>O fornecedor que cometer qualquer das infrações discriminadas nos subitens anteriores ficará sujeito, sem prejuízo da responsabilidade civil e criminal, às seguintes sanções:</w:t>
      </w:r>
      <w:r>
        <w:rPr>
          <w:sz w:val="24"/>
          <w:rFonts w:cs="Arial" w:ascii="Times New Roman" w:hAnsi="Times New Roman"/>
        </w:rPr>
        <w:fldChar w:fldCharType="end"/>
      </w:r>
    </w:p>
    <w:p>
      <w:pPr>
        <w:pStyle w:val="Normal"/>
        <w:numPr>
          <w:ilvl w:val="2"/>
          <w:numId w:val="4"/>
        </w:numPr>
        <w:spacing w:lineRule="auto" w:line="276" w:before="120" w:after="120"/>
        <w:jc w:val="both"/>
        <w:rPr>
          <w:rFonts w:ascii="Times New Roman" w:hAnsi="Times New Roman"/>
          <w:sz w:val="24"/>
        </w:rPr>
      </w:pPr>
      <w:r>
        <w:rPr>
          <w:rFonts w:cs="Arial" w:ascii="Times New Roman" w:hAnsi="Times New Roman"/>
          <w:sz w:val="24"/>
        </w:rPr>
        <w:t xml:space="preserve">Advertência pela falta do subitem </w:t>
      </w:r>
      <w:r>
        <w:rPr>
          <w:rFonts w:cs="Arial" w:ascii="Times New Roman" w:hAnsi="Times New Roman"/>
          <w:sz w:val="24"/>
        </w:rPr>
        <w:fldChar w:fldCharType="begin"/>
      </w:r>
      <w:r>
        <w:rPr>
          <w:sz w:val="24"/>
          <w:rFonts w:cs="Arial" w:ascii="Times New Roman" w:hAnsi="Times New Roman"/>
        </w:rPr>
        <w:instrText xml:space="preserve"> REF _Ref143509900 \r \h </w:instrText>
      </w:r>
      <w:r>
        <w:rPr>
          <w:sz w:val="24"/>
          <w:rFonts w:cs="Arial" w:ascii="Times New Roman" w:hAnsi="Times New Roman"/>
        </w:rPr>
        <w:fldChar w:fldCharType="separate"/>
      </w:r>
      <w:r>
        <w:rPr>
          <w:sz w:val="24"/>
          <w:rFonts w:cs="Arial" w:ascii="Times New Roman" w:hAnsi="Times New Roman"/>
        </w:rPr>
        <w:t>8.1.1</w:t>
      </w:r>
      <w:r>
        <w:rPr>
          <w:sz w:val="24"/>
          <w:rFonts w:cs="Arial" w:ascii="Times New Roman" w:hAnsi="Times New Roman"/>
        </w:rPr>
        <w:fldChar w:fldCharType="end"/>
      </w:r>
      <w:r>
        <w:rPr>
          <w:rFonts w:cs="Arial" w:ascii="Times New Roman" w:hAnsi="Times New Roman"/>
          <w:sz w:val="24"/>
        </w:rPr>
        <w:t xml:space="preserve"> deste Aviso de Contratação Direta,</w:t>
      </w:r>
      <w:r>
        <w:rPr>
          <w:rFonts w:ascii="Times New Roman" w:hAnsi="Times New Roman"/>
          <w:sz w:val="24"/>
        </w:rPr>
        <w:t xml:space="preserve"> </w:t>
      </w:r>
      <w:r>
        <w:rPr>
          <w:rFonts w:cs="Arial" w:ascii="Times New Roman" w:hAnsi="Times New Roman"/>
          <w:sz w:val="24"/>
        </w:rPr>
        <w:t>quando não se justificar a imposição de penalidade mais grave;</w:t>
      </w:r>
    </w:p>
    <w:p>
      <w:pPr>
        <w:pStyle w:val="Normal"/>
        <w:numPr>
          <w:ilvl w:val="2"/>
          <w:numId w:val="4"/>
        </w:numPr>
        <w:spacing w:lineRule="auto" w:line="276" w:before="120" w:after="120"/>
        <w:jc w:val="both"/>
        <w:rPr>
          <w:rFonts w:ascii="Times New Roman" w:hAnsi="Times New Roman"/>
          <w:sz w:val="24"/>
        </w:rPr>
      </w:pPr>
      <w:r>
        <w:rPr>
          <w:rFonts w:cs="Arial" w:ascii="Times New Roman" w:hAnsi="Times New Roman"/>
          <w:sz w:val="24"/>
        </w:rPr>
        <w:t xml:space="preserve">Multa de </w:t>
      </w:r>
      <w:r>
        <w:rPr>
          <w:rFonts w:eastAsia="Arial" w:cs="Arial" w:ascii="Times New Roman" w:hAnsi="Times New Roman"/>
          <w:b/>
          <w:bCs/>
          <w:color w:val="000000"/>
          <w:sz w:val="24"/>
          <w:lang w:eastAsia="ar-SA"/>
        </w:rPr>
        <w:t>10 % (dez por cento)</w:t>
      </w:r>
      <w:r>
        <w:rPr>
          <w:rFonts w:cs="Arial" w:ascii="Times New Roman" w:hAnsi="Times New Roman"/>
          <w:color w:val="FF0000"/>
          <w:sz w:val="24"/>
        </w:rPr>
        <w:t xml:space="preserve"> </w:t>
      </w:r>
      <w:r>
        <w:rPr>
          <w:rFonts w:cs="Arial" w:ascii="Times New Roman" w:hAnsi="Times New Roman"/>
          <w:sz w:val="24"/>
        </w:rPr>
        <w:t xml:space="preserve">sobre o valor estimado do(s) item(s) prejudicado(s) pela conduta do fornecedor, por qualquer das infrações dos subitens </w:t>
      </w:r>
      <w:r>
        <w:rPr>
          <w:rFonts w:cs="Arial" w:ascii="Times New Roman" w:hAnsi="Times New Roman"/>
          <w:sz w:val="24"/>
        </w:rPr>
        <w:fldChar w:fldCharType="begin"/>
      </w:r>
      <w:r>
        <w:rPr>
          <w:sz w:val="24"/>
          <w:rFonts w:cs="Arial" w:ascii="Times New Roman" w:hAnsi="Times New Roman"/>
        </w:rPr>
        <w:instrText xml:space="preserve"> REF _Ref143509900 \r \h </w:instrText>
      </w:r>
      <w:r>
        <w:rPr>
          <w:sz w:val="24"/>
          <w:rFonts w:cs="Arial" w:ascii="Times New Roman" w:hAnsi="Times New Roman"/>
        </w:rPr>
        <w:fldChar w:fldCharType="separate"/>
      </w:r>
      <w:r>
        <w:rPr>
          <w:sz w:val="24"/>
          <w:rFonts w:cs="Arial" w:ascii="Times New Roman" w:hAnsi="Times New Roman"/>
        </w:rPr>
        <w:t>8.1.1</w:t>
      </w:r>
      <w:r>
        <w:rPr>
          <w:sz w:val="24"/>
          <w:rFonts w:cs="Arial" w:ascii="Times New Roman" w:hAnsi="Times New Roman"/>
        </w:rPr>
        <w:fldChar w:fldCharType="end"/>
      </w:r>
      <w:r>
        <w:rPr>
          <w:rFonts w:cs="Arial" w:ascii="Times New Roman" w:hAnsi="Times New Roman"/>
          <w:sz w:val="24"/>
        </w:rPr>
        <w:t xml:space="preserve"> a </w:t>
      </w:r>
      <w:r>
        <w:rPr>
          <w:rFonts w:cs="Arial" w:ascii="Times New Roman" w:hAnsi="Times New Roman"/>
          <w:sz w:val="24"/>
        </w:rPr>
        <w:fldChar w:fldCharType="begin"/>
      </w:r>
      <w:r>
        <w:rPr>
          <w:sz w:val="24"/>
          <w:rFonts w:cs="Arial" w:ascii="Times New Roman" w:hAnsi="Times New Roman"/>
        </w:rPr>
        <w:instrText xml:space="preserve"> REF _Ref143509952 \r \h </w:instrText>
      </w:r>
      <w:r>
        <w:rPr>
          <w:sz w:val="24"/>
          <w:rFonts w:cs="Arial" w:ascii="Times New Roman" w:hAnsi="Times New Roman"/>
        </w:rPr>
        <w:fldChar w:fldCharType="separate"/>
      </w:r>
      <w:r>
        <w:rPr>
          <w:sz w:val="24"/>
          <w:rFonts w:cs="Arial" w:ascii="Times New Roman" w:hAnsi="Times New Roman"/>
        </w:rPr>
        <w:t>8.1.12</w:t>
      </w:r>
      <w:r>
        <w:rPr>
          <w:sz w:val="24"/>
          <w:rFonts w:cs="Arial" w:ascii="Times New Roman" w:hAnsi="Times New Roman"/>
        </w:rPr>
        <w:fldChar w:fldCharType="end"/>
      </w:r>
      <w:r>
        <w:rPr>
          <w:rFonts w:cs="Arial" w:ascii="Times New Roman" w:hAnsi="Times New Roman"/>
          <w:sz w:val="24"/>
        </w:rPr>
        <w:t>;</w:t>
      </w:r>
    </w:p>
    <w:p>
      <w:pPr>
        <w:pStyle w:val="Normal"/>
        <w:numPr>
          <w:ilvl w:val="2"/>
          <w:numId w:val="4"/>
        </w:numPr>
        <w:spacing w:lineRule="auto" w:line="276" w:before="120" w:after="120"/>
        <w:jc w:val="both"/>
        <w:rPr>
          <w:rFonts w:ascii="Times New Roman" w:hAnsi="Times New Roman"/>
          <w:sz w:val="24"/>
        </w:rPr>
      </w:pPr>
      <w:r>
        <w:rPr>
          <w:rFonts w:cs="Arial" w:ascii="Times New Roman" w:hAnsi="Times New Roman"/>
          <w:color w:val="000000"/>
          <w:sz w:val="24"/>
        </w:rPr>
        <w:t>Impedimento de licitar e contratar</w:t>
      </w:r>
      <w:r>
        <w:rPr>
          <w:rFonts w:cs="Arial" w:ascii="Times New Roman" w:hAnsi="Times New Roman"/>
          <w:sz w:val="24"/>
        </w:rPr>
        <w:t xml:space="preserve"> </w:t>
      </w:r>
      <w:r>
        <w:rPr>
          <w:rFonts w:cs="Arial" w:ascii="Times New Roman" w:hAnsi="Times New Roman"/>
          <w:color w:val="000000"/>
          <w:sz w:val="24"/>
        </w:rPr>
        <w:t xml:space="preserve">no âmbito da Administração Pública direta e indireta do ente federativo que tiver aplicado a sanção, pelo prazo máximo de 3 (três) anos, nos casos dos subitens </w:t>
      </w:r>
      <w:r>
        <w:rPr>
          <w:rFonts w:cs="Arial" w:ascii="Times New Roman" w:hAnsi="Times New Roman"/>
          <w:color w:val="000000"/>
          <w:sz w:val="24"/>
        </w:rPr>
        <w:fldChar w:fldCharType="begin"/>
      </w:r>
      <w:r>
        <w:rPr>
          <w:sz w:val="24"/>
          <w:rFonts w:cs="Arial" w:ascii="Times New Roman" w:hAnsi="Times New Roman"/>
          <w:color w:val="000000"/>
        </w:rPr>
        <w:instrText xml:space="preserve"> REF _Ref143510015 \r \h </w:instrText>
      </w:r>
      <w:r>
        <w:rPr>
          <w:sz w:val="24"/>
          <w:rFonts w:cs="Arial" w:ascii="Times New Roman" w:hAnsi="Times New Roman"/>
          <w:color w:val="000000"/>
        </w:rPr>
        <w:fldChar w:fldCharType="separate"/>
      </w:r>
      <w:r>
        <w:rPr>
          <w:sz w:val="24"/>
          <w:rFonts w:cs="Arial" w:ascii="Times New Roman" w:hAnsi="Times New Roman"/>
          <w:color w:val="000000"/>
        </w:rPr>
        <w:t>8.1.2</w:t>
      </w:r>
      <w:r>
        <w:rPr>
          <w:sz w:val="24"/>
          <w:rFonts w:cs="Arial" w:ascii="Times New Roman" w:hAnsi="Times New Roman"/>
          <w:color w:val="000000"/>
        </w:rPr>
        <w:fldChar w:fldCharType="end"/>
      </w:r>
      <w:r>
        <w:rPr>
          <w:rFonts w:cs="Arial" w:ascii="Times New Roman" w:hAnsi="Times New Roman"/>
          <w:color w:val="000000"/>
          <w:sz w:val="24"/>
        </w:rPr>
        <w:t xml:space="preserve">  a </w:t>
      </w:r>
      <w:r>
        <w:rPr>
          <w:rFonts w:cs="Arial" w:ascii="Times New Roman" w:hAnsi="Times New Roman"/>
          <w:color w:val="000000"/>
          <w:sz w:val="24"/>
        </w:rPr>
        <w:fldChar w:fldCharType="begin"/>
      </w:r>
      <w:r>
        <w:rPr>
          <w:sz w:val="24"/>
          <w:rFonts w:cs="Arial" w:ascii="Times New Roman" w:hAnsi="Times New Roman"/>
          <w:color w:val="000000"/>
        </w:rPr>
        <w:instrText xml:space="preserve"> REF _Ref143510046 \r \h </w:instrText>
      </w:r>
      <w:r>
        <w:rPr>
          <w:sz w:val="24"/>
          <w:rFonts w:cs="Arial" w:ascii="Times New Roman" w:hAnsi="Times New Roman"/>
          <w:color w:val="000000"/>
        </w:rPr>
        <w:fldChar w:fldCharType="separate"/>
      </w:r>
      <w:r>
        <w:rPr>
          <w:sz w:val="24"/>
          <w:rFonts w:cs="Arial" w:ascii="Times New Roman" w:hAnsi="Times New Roman"/>
          <w:color w:val="000000"/>
        </w:rPr>
        <w:t>8.1.7</w:t>
      </w:r>
      <w:r>
        <w:rPr>
          <w:sz w:val="24"/>
          <w:rFonts w:cs="Arial" w:ascii="Times New Roman" w:hAnsi="Times New Roman"/>
          <w:color w:val="000000"/>
        </w:rPr>
        <w:fldChar w:fldCharType="end"/>
      </w:r>
      <w:r>
        <w:rPr>
          <w:rFonts w:cs="Arial" w:ascii="Times New Roman" w:hAnsi="Times New Roman"/>
          <w:color w:val="000000"/>
          <w:sz w:val="24"/>
        </w:rPr>
        <w:t xml:space="preserve"> deste Aviso de Contratação Direta, quando não se justificar a imposição de penalidade mais grave</w:t>
      </w:r>
      <w:r>
        <w:rPr>
          <w:rFonts w:cs="Arial" w:ascii="Times New Roman" w:hAnsi="Times New Roman"/>
          <w:sz w:val="24"/>
        </w:rPr>
        <w:t>;</w:t>
      </w:r>
    </w:p>
    <w:p>
      <w:pPr>
        <w:pStyle w:val="Normal"/>
        <w:numPr>
          <w:ilvl w:val="2"/>
          <w:numId w:val="4"/>
        </w:numPr>
        <w:spacing w:lineRule="auto" w:line="276" w:before="120" w:after="120"/>
        <w:jc w:val="both"/>
        <w:rPr>
          <w:rFonts w:ascii="Times New Roman" w:hAnsi="Times New Roman"/>
          <w:sz w:val="24"/>
        </w:rPr>
      </w:pPr>
      <w:r>
        <w:rPr>
          <w:rFonts w:cs="Arial" w:ascii="Times New Roman" w:hAnsi="Times New Roman"/>
          <w:color w:val="000000"/>
          <w:sz w:val="24"/>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Pr>
          <w:rFonts w:cs="Arial" w:ascii="Times New Roman" w:hAnsi="Times New Roman"/>
          <w:color w:val="000000"/>
          <w:sz w:val="24"/>
        </w:rPr>
        <w:fldChar w:fldCharType="begin"/>
      </w:r>
      <w:r>
        <w:rPr>
          <w:sz w:val="24"/>
          <w:rFonts w:cs="Arial" w:ascii="Times New Roman" w:hAnsi="Times New Roman"/>
          <w:color w:val="000000"/>
        </w:rPr>
        <w:instrText xml:space="preserve"> REF _Ref143510088 \r \h </w:instrText>
      </w:r>
      <w:r>
        <w:rPr>
          <w:sz w:val="24"/>
          <w:rFonts w:cs="Arial" w:ascii="Times New Roman" w:hAnsi="Times New Roman"/>
          <w:color w:val="000000"/>
        </w:rPr>
        <w:fldChar w:fldCharType="separate"/>
      </w:r>
      <w:r>
        <w:rPr>
          <w:sz w:val="24"/>
          <w:rFonts w:cs="Arial" w:ascii="Times New Roman" w:hAnsi="Times New Roman"/>
          <w:color w:val="000000"/>
        </w:rPr>
        <w:t>8.1.8</w:t>
      </w:r>
      <w:r>
        <w:rPr>
          <w:sz w:val="24"/>
          <w:rFonts w:cs="Arial" w:ascii="Times New Roman" w:hAnsi="Times New Roman"/>
          <w:color w:val="000000"/>
        </w:rPr>
        <w:fldChar w:fldCharType="end"/>
      </w:r>
      <w:r>
        <w:rPr>
          <w:rFonts w:cs="Arial" w:ascii="Times New Roman" w:hAnsi="Times New Roman"/>
          <w:color w:val="000000"/>
          <w:sz w:val="24"/>
        </w:rPr>
        <w:t xml:space="preserve"> a </w:t>
      </w:r>
      <w:r>
        <w:rPr>
          <w:rFonts w:cs="Arial" w:ascii="Times New Roman" w:hAnsi="Times New Roman"/>
          <w:color w:val="000000"/>
          <w:sz w:val="24"/>
        </w:rPr>
        <w:fldChar w:fldCharType="begin"/>
      </w:r>
      <w:r>
        <w:rPr>
          <w:sz w:val="24"/>
          <w:rFonts w:cs="Arial" w:ascii="Times New Roman" w:hAnsi="Times New Roman"/>
          <w:color w:val="000000"/>
        </w:rPr>
        <w:instrText xml:space="preserve"> REF _Ref143509952 \r \h </w:instrText>
      </w:r>
      <w:r>
        <w:rPr>
          <w:sz w:val="24"/>
          <w:rFonts w:cs="Arial" w:ascii="Times New Roman" w:hAnsi="Times New Roman"/>
          <w:color w:val="000000"/>
        </w:rPr>
        <w:fldChar w:fldCharType="separate"/>
      </w:r>
      <w:r>
        <w:rPr>
          <w:sz w:val="24"/>
          <w:rFonts w:cs="Arial" w:ascii="Times New Roman" w:hAnsi="Times New Roman"/>
          <w:color w:val="000000"/>
        </w:rPr>
        <w:t>8.1.12</w:t>
      </w:r>
      <w:r>
        <w:rPr>
          <w:sz w:val="24"/>
          <w:rFonts w:cs="Arial" w:ascii="Times New Roman" w:hAnsi="Times New Roman"/>
          <w:color w:val="000000"/>
        </w:rPr>
        <w:fldChar w:fldCharType="end"/>
      </w:r>
      <w:r>
        <w:rPr>
          <w:rFonts w:cs="Arial" w:ascii="Times New Roman" w:hAnsi="Times New Roman"/>
          <w:color w:val="000000"/>
          <w:sz w:val="24"/>
        </w:rPr>
        <w:t>, bem como nos demais casos que justifiquem a imposição da penalidade mais grave</w:t>
      </w:r>
      <w:r>
        <w:rPr>
          <w:rFonts w:cs="Arial" w:ascii="Times New Roman" w:hAnsi="Times New Roman"/>
          <w:sz w:val="24"/>
        </w:rPr>
        <w:t>;</w:t>
      </w:r>
    </w:p>
    <w:p>
      <w:pPr>
        <w:pStyle w:val="Normal"/>
        <w:numPr>
          <w:ilvl w:val="1"/>
          <w:numId w:val="1"/>
        </w:numPr>
        <w:spacing w:lineRule="auto" w:line="276" w:before="120" w:after="120"/>
        <w:ind w:hanging="0" w:left="425"/>
        <w:jc w:val="both"/>
        <w:rPr/>
      </w:pPr>
      <w:r>
        <w:rPr>
          <w:rFonts w:cs="Arial" w:ascii="Times New Roman" w:hAnsi="Times New Roman"/>
          <w:bCs/>
          <w:sz w:val="24"/>
        </w:rPr>
        <w:t>A aplicação das sanções previstas neste Aviso de Contratação Direta não exclui, em hipótese alguma, a obrigação de reparação integral do dano causado à Contratante (</w:t>
      </w:r>
      <w:r>
        <w:fldChar w:fldCharType="begin"/>
      </w:r>
      <w:r>
        <w:rPr>
          <w:rStyle w:val="Hyperlink"/>
          <w:sz w:val="24"/>
          <w:bCs/>
          <w:rFonts w:cs="Arial" w:ascii="Times New Roman" w:hAnsi="Times New Roman"/>
        </w:rPr>
        <w:instrText xml:space="preserve"> HYPERLINK "http://www.planalto.gov.br/ccivil_03/_ato2019-2022/2021/lei/L14133.htm" \l "art156§9"</w:instrText>
      </w:r>
      <w:r>
        <w:rPr>
          <w:rStyle w:val="Hyperlink"/>
          <w:sz w:val="24"/>
          <w:bCs/>
          <w:rFonts w:cs="Arial" w:ascii="Times New Roman" w:hAnsi="Times New Roman"/>
        </w:rPr>
        <w:fldChar w:fldCharType="separate"/>
      </w:r>
      <w:r>
        <w:rPr>
          <w:rStyle w:val="Hyperlink"/>
          <w:rFonts w:cs="Arial" w:ascii="Times New Roman" w:hAnsi="Times New Roman"/>
          <w:bCs/>
          <w:sz w:val="24"/>
        </w:rPr>
        <w:t>art. 156, §9º</w:t>
      </w:r>
      <w:r>
        <w:rPr>
          <w:rStyle w:val="Hyperlink"/>
          <w:sz w:val="24"/>
          <w:bCs/>
          <w:rFonts w:cs="Arial" w:ascii="Times New Roman" w:hAnsi="Times New Roman"/>
        </w:rPr>
        <w:fldChar w:fldCharType="end"/>
      </w:r>
      <w:r>
        <w:rPr>
          <w:rFonts w:cs="Arial" w:ascii="Times New Roman" w:hAnsi="Times New Roman"/>
          <w:bCs/>
          <w:sz w:val="24"/>
        </w:rPr>
        <w:t>)</w:t>
      </w:r>
    </w:p>
    <w:p>
      <w:pPr>
        <w:pStyle w:val="Normal"/>
        <w:numPr>
          <w:ilvl w:val="1"/>
          <w:numId w:val="1"/>
        </w:numPr>
        <w:spacing w:lineRule="auto" w:line="276" w:before="120" w:after="120"/>
        <w:ind w:hanging="0" w:left="425"/>
        <w:jc w:val="both"/>
        <w:rPr/>
      </w:pPr>
      <w:r>
        <w:rPr>
          <w:rFonts w:cs="Arial" w:ascii="Times New Roman" w:hAnsi="Times New Roman"/>
          <w:bCs/>
          <w:sz w:val="24"/>
        </w:rPr>
        <w:t xml:space="preserve">Todas as sanções previstas neste Aviso poderão ser aplicadas cumulativamente com a multa </w:t>
      </w:r>
      <w:r>
        <w:fldChar w:fldCharType="begin"/>
      </w:r>
      <w:r>
        <w:rPr>
          <w:rStyle w:val="Hyperlink"/>
          <w:sz w:val="24"/>
          <w:bCs/>
          <w:rFonts w:cs="Arial" w:ascii="Times New Roman" w:hAnsi="Times New Roman"/>
        </w:rPr>
        <w:instrText xml:space="preserve"> HYPERLINK "http://www.planalto.gov.br/ccivil_03/_ato2019-2022/2021/lei/L14133.htm" \l "art156§7"</w:instrText>
      </w:r>
      <w:r>
        <w:rPr>
          <w:rStyle w:val="Hyperlink"/>
          <w:sz w:val="24"/>
          <w:bCs/>
          <w:rFonts w:cs="Arial" w:ascii="Times New Roman" w:hAnsi="Times New Roman"/>
        </w:rPr>
        <w:fldChar w:fldCharType="separate"/>
      </w:r>
      <w:r>
        <w:rPr>
          <w:rStyle w:val="Hyperlink"/>
          <w:rFonts w:cs="Arial" w:ascii="Times New Roman" w:hAnsi="Times New Roman"/>
          <w:bCs/>
          <w:sz w:val="24"/>
        </w:rPr>
        <w:t>(art. 156, §7º</w:t>
      </w:r>
      <w:r>
        <w:rPr>
          <w:rStyle w:val="Hyperlink"/>
          <w:sz w:val="24"/>
          <w:bCs/>
          <w:rFonts w:cs="Arial" w:ascii="Times New Roman" w:hAnsi="Times New Roman"/>
        </w:rPr>
        <w:fldChar w:fldCharType="end"/>
      </w:r>
      <w:r>
        <w:rPr>
          <w:rFonts w:cs="Arial" w:ascii="Times New Roman" w:hAnsi="Times New Roman"/>
          <w:bCs/>
          <w:sz w:val="24"/>
        </w:rPr>
        <w:t>).</w:t>
      </w:r>
    </w:p>
    <w:p>
      <w:pPr>
        <w:pStyle w:val="Normal"/>
        <w:numPr>
          <w:ilvl w:val="1"/>
          <w:numId w:val="1"/>
        </w:numPr>
        <w:spacing w:lineRule="auto" w:line="276" w:before="120" w:after="120"/>
        <w:ind w:hanging="0" w:left="425"/>
        <w:jc w:val="both"/>
        <w:rPr/>
      </w:pPr>
      <w:r>
        <w:rPr>
          <w:rFonts w:cs="Arial" w:ascii="Times New Roman" w:hAnsi="Times New Roman"/>
          <w:bCs/>
          <w:sz w:val="24"/>
        </w:rPr>
        <w:t>Antes da aplicação da multa, será facultada a defesa do interessado no prazo de 15 (quinze) dias úteis, contado da data de sua intimação (</w:t>
      </w:r>
      <w:r>
        <w:fldChar w:fldCharType="begin"/>
      </w:r>
      <w:r>
        <w:rPr>
          <w:rStyle w:val="Hyperlink"/>
          <w:sz w:val="24"/>
          <w:bCs/>
          <w:rFonts w:cs="Arial" w:ascii="Times New Roman" w:hAnsi="Times New Roman"/>
        </w:rPr>
        <w:instrText xml:space="preserve"> HYPERLINK "http://www.planalto.gov.br/ccivil_03/_ato2019-2022/2021/lei/L14133.htm" \l "art157"</w:instrText>
      </w:r>
      <w:r>
        <w:rPr>
          <w:rStyle w:val="Hyperlink"/>
          <w:sz w:val="24"/>
          <w:bCs/>
          <w:rFonts w:cs="Arial" w:ascii="Times New Roman" w:hAnsi="Times New Roman"/>
        </w:rPr>
        <w:fldChar w:fldCharType="separate"/>
      </w:r>
      <w:r>
        <w:rPr>
          <w:rStyle w:val="Hyperlink"/>
          <w:rFonts w:cs="Arial" w:ascii="Times New Roman" w:hAnsi="Times New Roman"/>
          <w:bCs/>
          <w:sz w:val="24"/>
        </w:rPr>
        <w:t>art. 157</w:t>
      </w:r>
      <w:r>
        <w:rPr>
          <w:rStyle w:val="Hyperlink"/>
          <w:sz w:val="24"/>
          <w:bCs/>
          <w:rFonts w:cs="Arial" w:ascii="Times New Roman" w:hAnsi="Times New Roman"/>
        </w:rPr>
        <w:fldChar w:fldCharType="end"/>
      </w:r>
      <w:r>
        <w:rPr>
          <w:rFonts w:cs="Arial" w:ascii="Times New Roman" w:hAnsi="Times New Roman"/>
          <w:bCs/>
          <w:sz w:val="24"/>
        </w:rPr>
        <w:t>)</w:t>
      </w:r>
    </w:p>
    <w:p>
      <w:pPr>
        <w:pStyle w:val="Normal"/>
        <w:numPr>
          <w:ilvl w:val="1"/>
          <w:numId w:val="1"/>
        </w:numPr>
        <w:spacing w:lineRule="auto" w:line="276" w:before="120" w:after="120"/>
        <w:ind w:hanging="0" w:left="425"/>
        <w:jc w:val="both"/>
        <w:rPr/>
      </w:pPr>
      <w:r>
        <w:rPr>
          <w:rFonts w:cs="Arial" w:ascii="Times New Roman" w:hAnsi="Times New Roman"/>
          <w:bCs/>
          <w:sz w:val="24"/>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Hyperlink"/>
          <w:sz w:val="24"/>
          <w:bCs/>
          <w:rFonts w:cs="Arial" w:ascii="Times New Roman" w:hAnsi="Times New Roman"/>
        </w:rPr>
        <w:instrText xml:space="preserve"> HYPERLINK "http://www.planalto.gov.br/ccivil_03/_ato2019-2022/2021/lei/L14133.htm" \l "art156§8"</w:instrText>
      </w:r>
      <w:r>
        <w:rPr>
          <w:rStyle w:val="Hyperlink"/>
          <w:sz w:val="24"/>
          <w:bCs/>
          <w:rFonts w:cs="Arial" w:ascii="Times New Roman" w:hAnsi="Times New Roman"/>
        </w:rPr>
        <w:fldChar w:fldCharType="separate"/>
      </w:r>
      <w:r>
        <w:rPr>
          <w:rStyle w:val="Hyperlink"/>
          <w:rFonts w:cs="Arial" w:ascii="Times New Roman" w:hAnsi="Times New Roman"/>
          <w:bCs/>
          <w:sz w:val="24"/>
        </w:rPr>
        <w:t>art. 156, §8º</w:t>
      </w:r>
      <w:r>
        <w:rPr>
          <w:rStyle w:val="Hyperlink"/>
          <w:sz w:val="24"/>
          <w:bCs/>
          <w:rFonts w:cs="Arial" w:ascii="Times New Roman" w:hAnsi="Times New Roman"/>
        </w:rPr>
        <w:fldChar w:fldCharType="end"/>
      </w:r>
      <w:r>
        <w:rPr>
          <w:rFonts w:cs="Arial" w:ascii="Times New Roman" w:hAnsi="Times New Roman"/>
          <w:bCs/>
          <w:sz w:val="24"/>
        </w:rPr>
        <w:t>).</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bCs/>
          <w:sz w:val="24"/>
        </w:rPr>
        <w:t>Previamente ao encaminhamento à cobrança judicial, a multa poderá ser recolhida administrativamente no prazo máximo de</w:t>
      </w:r>
      <w:r>
        <w:rPr>
          <w:rFonts w:cs="Arial" w:ascii="Times New Roman" w:hAnsi="Times New Roman"/>
          <w:b/>
          <w:bCs/>
          <w:sz w:val="24"/>
        </w:rPr>
        <w:t xml:space="preserve"> </w:t>
      </w:r>
      <w:r>
        <w:rPr>
          <w:rFonts w:cs="Arial" w:ascii="Times New Roman" w:hAnsi="Times New Roman"/>
          <w:b/>
          <w:bCs/>
          <w:color w:val="000000"/>
          <w:sz w:val="24"/>
        </w:rPr>
        <w:t>30 (trinta)</w:t>
      </w:r>
      <w:r>
        <w:rPr>
          <w:rFonts w:cs="Arial" w:ascii="Times New Roman" w:hAnsi="Times New Roman"/>
          <w:b/>
          <w:bCs/>
          <w:i/>
          <w:iCs/>
          <w:sz w:val="24"/>
        </w:rPr>
        <w:t xml:space="preserve"> </w:t>
      </w:r>
      <w:r>
        <w:rPr>
          <w:rFonts w:cs="Arial" w:ascii="Times New Roman" w:hAnsi="Times New Roman"/>
          <w:b/>
          <w:bCs/>
          <w:sz w:val="24"/>
        </w:rPr>
        <w:t>dias</w:t>
      </w:r>
      <w:r>
        <w:rPr>
          <w:rFonts w:cs="Arial" w:ascii="Times New Roman" w:hAnsi="Times New Roman"/>
          <w:bCs/>
          <w:sz w:val="24"/>
        </w:rPr>
        <w:t>, a contar da data do recebimento da comunicação enviada pela autoridade competente.</w:t>
      </w:r>
      <w:bookmarkStart w:id="14" w:name="_Hlk78351618"/>
      <w:bookmarkEnd w:id="14"/>
    </w:p>
    <w:p>
      <w:pPr>
        <w:pStyle w:val="Normal"/>
        <w:numPr>
          <w:ilvl w:val="1"/>
          <w:numId w:val="1"/>
        </w:numPr>
        <w:spacing w:lineRule="auto" w:line="276" w:before="120" w:after="120"/>
        <w:ind w:hanging="0" w:left="425"/>
        <w:jc w:val="both"/>
        <w:rPr/>
      </w:pPr>
      <w:r>
        <w:rPr>
          <w:rFonts w:cs="Arial" w:ascii="Times New Roman" w:hAnsi="Times New Roman"/>
          <w:bCs/>
          <w:sz w:val="24"/>
        </w:rPr>
        <w:t xml:space="preserve">A aplicação das sanções realizar-se-á em processo administrativo que assegure o contraditório e a ampla defesa ao Contratado, observando-se o procedimento previsto no </w:t>
      </w:r>
      <w:r>
        <w:rPr>
          <w:rFonts w:cs="Arial" w:ascii="Times New Roman" w:hAnsi="Times New Roman"/>
          <w:b/>
          <w:bCs/>
          <w:sz w:val="24"/>
        </w:rPr>
        <w:t xml:space="preserve">caput </w:t>
      </w:r>
      <w:r>
        <w:rPr>
          <w:rFonts w:cs="Arial" w:ascii="Times New Roman" w:hAnsi="Times New Roman"/>
          <w:bCs/>
          <w:sz w:val="24"/>
        </w:rPr>
        <w:t xml:space="preserve">e parágrafos do </w:t>
      </w:r>
      <w:r>
        <w:fldChar w:fldCharType="begin"/>
      </w:r>
      <w:r>
        <w:rPr>
          <w:rStyle w:val="Hyperlink"/>
          <w:sz w:val="24"/>
          <w:bCs/>
          <w:rFonts w:cs="Arial" w:ascii="Times New Roman" w:hAnsi="Times New Roman"/>
        </w:rPr>
        <w:instrText xml:space="preserve"> HYPERLINK "http://www.planalto.gov.br/ccivil_03/_ato2019-2022/2021/lei/L14133.htm" \l "art158"</w:instrText>
      </w:r>
      <w:r>
        <w:rPr>
          <w:rStyle w:val="Hyperlink"/>
          <w:sz w:val="24"/>
          <w:bCs/>
          <w:rFonts w:cs="Arial" w:ascii="Times New Roman" w:hAnsi="Times New Roman"/>
        </w:rPr>
        <w:fldChar w:fldCharType="separate"/>
      </w:r>
      <w:r>
        <w:rPr>
          <w:rStyle w:val="Hyperlink"/>
          <w:rFonts w:cs="Arial" w:ascii="Times New Roman" w:hAnsi="Times New Roman"/>
          <w:bCs/>
          <w:sz w:val="24"/>
        </w:rPr>
        <w:t>art. 158 da Lei nº 14.133, de 2021</w:t>
      </w:r>
      <w:r>
        <w:rPr>
          <w:rStyle w:val="Hyperlink"/>
          <w:sz w:val="24"/>
          <w:bCs/>
          <w:rFonts w:cs="Arial" w:ascii="Times New Roman" w:hAnsi="Times New Roman"/>
        </w:rPr>
        <w:fldChar w:fldCharType="end"/>
      </w:r>
      <w:r>
        <w:rPr>
          <w:rFonts w:cs="Arial" w:ascii="Times New Roman" w:hAnsi="Times New Roman"/>
          <w:bCs/>
          <w:sz w:val="24"/>
        </w:rPr>
        <w:t>, para as penalidades de impedimento de licitar e contratar e de declaração de inidoneidade para licitar ou contratar.</w:t>
      </w:r>
    </w:p>
    <w:p>
      <w:pPr>
        <w:pStyle w:val="Normal"/>
        <w:numPr>
          <w:ilvl w:val="1"/>
          <w:numId w:val="1"/>
        </w:numPr>
        <w:spacing w:lineRule="auto" w:line="276" w:before="120" w:after="120"/>
        <w:ind w:hanging="0" w:left="425"/>
        <w:jc w:val="both"/>
        <w:rPr/>
      </w:pPr>
      <w:r>
        <w:rPr>
          <w:rFonts w:cs="Arial" w:ascii="Times New Roman" w:hAnsi="Times New Roman"/>
          <w:bCs/>
          <w:sz w:val="24"/>
        </w:rPr>
        <w:t>Na aplicação das sanções serão considerados (</w:t>
      </w:r>
      <w:r>
        <w:fldChar w:fldCharType="begin"/>
      </w:r>
      <w:r>
        <w:rPr>
          <w:rStyle w:val="Hyperlink"/>
          <w:sz w:val="24"/>
          <w:bCs/>
          <w:rFonts w:cs="Arial" w:ascii="Times New Roman" w:hAnsi="Times New Roman"/>
        </w:rPr>
        <w:instrText xml:space="preserve"> HYPERLINK "http://www.planalto.gov.br/ccivil_03/_ato2019-2022/2021/lei/L14133.htm" \l "art156§1"</w:instrText>
      </w:r>
      <w:r>
        <w:rPr>
          <w:rStyle w:val="Hyperlink"/>
          <w:sz w:val="24"/>
          <w:bCs/>
          <w:rFonts w:cs="Arial" w:ascii="Times New Roman" w:hAnsi="Times New Roman"/>
        </w:rPr>
        <w:fldChar w:fldCharType="separate"/>
      </w:r>
      <w:r>
        <w:rPr>
          <w:rStyle w:val="Hyperlink"/>
          <w:rFonts w:cs="Arial" w:ascii="Times New Roman" w:hAnsi="Times New Roman"/>
          <w:bCs/>
          <w:sz w:val="24"/>
        </w:rPr>
        <w:t>art. 156, §1º</w:t>
      </w:r>
      <w:r>
        <w:rPr>
          <w:rStyle w:val="Hyperlink"/>
          <w:sz w:val="24"/>
          <w:bCs/>
          <w:rFonts w:cs="Arial" w:ascii="Times New Roman" w:hAnsi="Times New Roman"/>
        </w:rPr>
        <w:fldChar w:fldCharType="end"/>
      </w:r>
      <w:r>
        <w:rPr>
          <w:rFonts w:cs="Arial" w:ascii="Times New Roman" w:hAnsi="Times New Roman"/>
          <w:bCs/>
          <w:sz w:val="24"/>
        </w:rPr>
        <w:t>):</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bCs/>
          <w:sz w:val="24"/>
        </w:rPr>
        <w:t>a natureza e a gravidade da infração cometida;</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bCs/>
          <w:sz w:val="24"/>
        </w:rPr>
        <w:t>as peculiaridades do caso concreto;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bCs/>
          <w:sz w:val="24"/>
        </w:rPr>
        <w:t>as circunstâncias agravantes ou atenuantes;</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bCs/>
          <w:sz w:val="24"/>
        </w:rPr>
        <w:t>os danos que dela provierem para o Contratante;</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bCs/>
          <w:sz w:val="24"/>
        </w:rPr>
        <w:t>a implantação ou o aperfeiçoamento de programa de integridade, conforme normas e orientações dos órgãos de controle.</w:t>
      </w:r>
    </w:p>
    <w:p>
      <w:pPr>
        <w:pStyle w:val="Normal"/>
        <w:numPr>
          <w:ilvl w:val="1"/>
          <w:numId w:val="1"/>
        </w:numPr>
        <w:spacing w:lineRule="auto" w:line="276" w:before="120" w:after="120"/>
        <w:ind w:hanging="0" w:left="425"/>
        <w:jc w:val="both"/>
        <w:rPr/>
      </w:pPr>
      <w:r>
        <w:rPr>
          <w:rFonts w:cs="Arial" w:ascii="Times New Roman" w:hAnsi="Times New Roman"/>
          <w:bCs/>
          <w:sz w:val="24"/>
        </w:rPr>
        <w:t xml:space="preserve">Os atos previstos como infrações administrativas na </w:t>
      </w:r>
      <w:hyperlink r:id="rId11">
        <w:r>
          <w:rPr>
            <w:rStyle w:val="Hyperlink"/>
            <w:rFonts w:cs="Arial" w:ascii="Times New Roman" w:hAnsi="Times New Roman"/>
            <w:bCs/>
            <w:sz w:val="24"/>
          </w:rPr>
          <w:t>Lei nº 14.133, de 2021</w:t>
        </w:r>
      </w:hyperlink>
      <w:r>
        <w:rPr>
          <w:rFonts w:cs="Arial" w:ascii="Times New Roman" w:hAnsi="Times New Roman"/>
          <w:bCs/>
          <w:sz w:val="24"/>
        </w:rPr>
        <w:t xml:space="preserve">, ou em outras leis de licitações e contratos da Administração Pública que também sejam tipificados como atos lesivos na </w:t>
      </w:r>
      <w:hyperlink r:id="rId12">
        <w:r>
          <w:rPr>
            <w:rStyle w:val="Hyperlink"/>
            <w:rFonts w:cs="Arial" w:ascii="Times New Roman" w:hAnsi="Times New Roman"/>
            <w:bCs/>
            <w:sz w:val="24"/>
          </w:rPr>
          <w:t>Lei nº 12.846, de 1º de agosto de 2013</w:t>
        </w:r>
      </w:hyperlink>
      <w:r>
        <w:rPr>
          <w:rFonts w:cs="Arial" w:ascii="Times New Roman" w:hAnsi="Times New Roman"/>
          <w:bCs/>
          <w:sz w:val="24"/>
        </w:rPr>
        <w:t>, serão apurados e julgados conjuntamente, nos mesmos autos, observados o rito procedimental e autoridade competente definidos na referida Lei (</w:t>
      </w:r>
      <w:r>
        <w:fldChar w:fldCharType="begin"/>
      </w:r>
      <w:r>
        <w:rPr>
          <w:rStyle w:val="Hyperlink"/>
          <w:sz w:val="24"/>
          <w:bCs/>
          <w:rFonts w:cs="Arial" w:ascii="Times New Roman" w:hAnsi="Times New Roman"/>
        </w:rPr>
        <w:instrText xml:space="preserve"> HYPERLINK "http://www.planalto.gov.br/ccivil_03/_ato2019-2022/2021/lei/L14133.htm" \l "art159"</w:instrText>
      </w:r>
      <w:r>
        <w:rPr>
          <w:rStyle w:val="Hyperlink"/>
          <w:sz w:val="24"/>
          <w:bCs/>
          <w:rFonts w:cs="Arial" w:ascii="Times New Roman" w:hAnsi="Times New Roman"/>
        </w:rPr>
        <w:fldChar w:fldCharType="separate"/>
      </w:r>
      <w:r>
        <w:rPr>
          <w:rStyle w:val="Hyperlink"/>
          <w:rFonts w:cs="Arial" w:ascii="Times New Roman" w:hAnsi="Times New Roman"/>
          <w:bCs/>
          <w:sz w:val="24"/>
        </w:rPr>
        <w:t>art. 159</w:t>
      </w:r>
      <w:r>
        <w:rPr>
          <w:rStyle w:val="Hyperlink"/>
          <w:sz w:val="24"/>
          <w:bCs/>
          <w:rFonts w:cs="Arial" w:ascii="Times New Roman" w:hAnsi="Times New Roman"/>
        </w:rPr>
        <w:fldChar w:fldCharType="end"/>
      </w:r>
      <w:r>
        <w:rPr>
          <w:rFonts w:cs="Arial" w:ascii="Times New Roman" w:hAnsi="Times New Roman"/>
          <w:bCs/>
          <w:sz w:val="24"/>
        </w:rPr>
        <w:t>).</w:t>
      </w:r>
    </w:p>
    <w:p>
      <w:pPr>
        <w:pStyle w:val="Normal"/>
        <w:numPr>
          <w:ilvl w:val="1"/>
          <w:numId w:val="1"/>
        </w:numPr>
        <w:spacing w:lineRule="auto" w:line="276" w:before="120" w:after="120"/>
        <w:ind w:hanging="0" w:left="425"/>
        <w:jc w:val="both"/>
        <w:rPr/>
      </w:pPr>
      <w:r>
        <w:rPr>
          <w:rFonts w:cs="Arial" w:ascii="Times New Roman" w:hAnsi="Times New Roman"/>
          <w:bCs/>
          <w:sz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Hyperlink"/>
          <w:sz w:val="24"/>
          <w:bCs/>
          <w:rFonts w:cs="Arial" w:ascii="Times New Roman" w:hAnsi="Times New Roman"/>
        </w:rPr>
        <w:instrText xml:space="preserve"> HYPERLINK "http://www.planalto.gov.br/ccivil_03/_ato2019-2022/2021/lei/L14133.htm" \l "art160"</w:instrText>
      </w:r>
      <w:r>
        <w:rPr>
          <w:rStyle w:val="Hyperlink"/>
          <w:sz w:val="24"/>
          <w:bCs/>
          <w:rFonts w:cs="Arial" w:ascii="Times New Roman" w:hAnsi="Times New Roman"/>
        </w:rPr>
        <w:fldChar w:fldCharType="separate"/>
      </w:r>
      <w:r>
        <w:rPr>
          <w:rStyle w:val="Hyperlink"/>
          <w:rFonts w:cs="Arial" w:ascii="Times New Roman" w:hAnsi="Times New Roman"/>
          <w:bCs/>
          <w:sz w:val="24"/>
        </w:rPr>
        <w:t>art. 160</w:t>
      </w:r>
      <w:r>
        <w:rPr>
          <w:rStyle w:val="Hyperlink"/>
          <w:sz w:val="24"/>
          <w:bCs/>
          <w:rFonts w:cs="Arial" w:ascii="Times New Roman" w:hAnsi="Times New Roman"/>
        </w:rPr>
        <w:fldChar w:fldCharType="end"/>
      </w:r>
      <w:r>
        <w:rPr>
          <w:rFonts w:cs="Arial" w:ascii="Times New Roman" w:hAnsi="Times New Roman"/>
          <w:bCs/>
          <w:sz w:val="24"/>
        </w:rPr>
        <w:t>)</w:t>
      </w:r>
    </w:p>
    <w:p>
      <w:pPr>
        <w:pStyle w:val="Normal"/>
        <w:numPr>
          <w:ilvl w:val="1"/>
          <w:numId w:val="1"/>
        </w:numPr>
        <w:spacing w:lineRule="auto" w:line="276" w:before="120" w:after="120"/>
        <w:ind w:hanging="0" w:left="425"/>
        <w:jc w:val="both"/>
        <w:rPr/>
      </w:pPr>
      <w:r>
        <w:rPr>
          <w:rFonts w:cs="Arial" w:ascii="Times New Roman" w:hAnsi="Times New Roman"/>
          <w:bCs/>
          <w:sz w:val="24"/>
        </w:rPr>
        <w:t xml:space="preserve"> </w:t>
      </w:r>
      <w:r>
        <w:rPr>
          <w:rFonts w:cs="Arial" w:ascii="Times New Roman" w:hAnsi="Times New Roman"/>
          <w:bCs/>
          <w:sz w:val="24"/>
        </w:rPr>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r>
        <w:fldChar w:fldCharType="begin"/>
      </w:r>
      <w:r>
        <w:rPr>
          <w:rStyle w:val="Hyperlink"/>
          <w:sz w:val="24"/>
          <w:bCs/>
          <w:rFonts w:cs="Arial" w:ascii="Times New Roman" w:hAnsi="Times New Roman"/>
        </w:rPr>
        <w:instrText xml:space="preserve"> HYPERLINK "http://www.planalto.gov.br/ccivil_03/_ato2019-2022/2021/lei/L14133.htm" \l "art161"</w:instrText>
      </w:r>
      <w:r>
        <w:rPr>
          <w:rStyle w:val="Hyperlink"/>
          <w:sz w:val="24"/>
          <w:bCs/>
          <w:rFonts w:cs="Arial" w:ascii="Times New Roman" w:hAnsi="Times New Roman"/>
        </w:rPr>
        <w:fldChar w:fldCharType="separate"/>
      </w:r>
      <w:r>
        <w:rPr>
          <w:rStyle w:val="Hyperlink"/>
          <w:rFonts w:cs="Arial" w:ascii="Times New Roman" w:hAnsi="Times New Roman"/>
          <w:bCs/>
          <w:sz w:val="24"/>
        </w:rPr>
        <w:t>Art. 161</w:t>
      </w:r>
      <w:r>
        <w:rPr>
          <w:rStyle w:val="Hyperlink"/>
          <w:sz w:val="24"/>
          <w:bCs/>
          <w:rFonts w:cs="Arial" w:ascii="Times New Roman" w:hAnsi="Times New Roman"/>
        </w:rPr>
        <w:fldChar w:fldCharType="end"/>
      </w:r>
      <w:r>
        <w:rPr>
          <w:rFonts w:cs="Arial" w:ascii="Times New Roman" w:hAnsi="Times New Roman"/>
          <w:bCs/>
          <w:sz w:val="24"/>
        </w:rPr>
        <w:t>)</w:t>
      </w:r>
    </w:p>
    <w:p>
      <w:pPr>
        <w:pStyle w:val="Normal"/>
        <w:numPr>
          <w:ilvl w:val="1"/>
          <w:numId w:val="1"/>
        </w:numPr>
        <w:spacing w:lineRule="auto" w:line="276" w:before="120" w:after="120"/>
        <w:ind w:hanging="0" w:left="425"/>
        <w:jc w:val="both"/>
        <w:rPr/>
      </w:pPr>
      <w:r>
        <w:rPr>
          <w:rFonts w:cs="Arial" w:ascii="Times New Roman" w:hAnsi="Times New Roman"/>
          <w:bCs/>
          <w:sz w:val="24"/>
        </w:rPr>
        <w:t xml:space="preserve">As sanções de impedimento de licitar e contratar e declaração de inidoneidade para licitar ou contratar são passíveis de reabilitação na forma do </w:t>
      </w:r>
      <w:r>
        <w:fldChar w:fldCharType="begin"/>
      </w:r>
      <w:r>
        <w:rPr>
          <w:rStyle w:val="Hyperlink"/>
          <w:sz w:val="24"/>
          <w:bCs/>
          <w:rFonts w:cs="Arial" w:ascii="Times New Roman" w:hAnsi="Times New Roman"/>
        </w:rPr>
        <w:instrText xml:space="preserve"> HYPERLINK "http://www.planalto.gov.br/ccivil_03/_ato2019-2022/2021/lei/L14133.htm" \l "art163"</w:instrText>
      </w:r>
      <w:r>
        <w:rPr>
          <w:rStyle w:val="Hyperlink"/>
          <w:sz w:val="24"/>
          <w:bCs/>
          <w:rFonts w:cs="Arial" w:ascii="Times New Roman" w:hAnsi="Times New Roman"/>
        </w:rPr>
        <w:fldChar w:fldCharType="separate"/>
      </w:r>
      <w:r>
        <w:rPr>
          <w:rStyle w:val="Hyperlink"/>
          <w:rFonts w:cs="Arial" w:ascii="Times New Roman" w:hAnsi="Times New Roman"/>
          <w:bCs/>
          <w:sz w:val="24"/>
        </w:rPr>
        <w:t>art. 163 da Lei nº 14.133, de 2021.</w:t>
      </w:r>
      <w:r>
        <w:rPr>
          <w:rStyle w:val="Hyperlink"/>
          <w:sz w:val="24"/>
          <w:bCs/>
          <w:rFonts w:cs="Arial" w:ascii="Times New Roman" w:hAnsi="Times New Roman"/>
        </w:rPr>
        <w:fldChar w:fldCharType="end"/>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sz w:val="24"/>
        </w:rPr>
        <w:t>As sanções por atos praticados no decorrer da contratação estão previstas nos anexos a este Aviso.</w:t>
      </w:r>
    </w:p>
    <w:p>
      <w:pPr>
        <w:pStyle w:val="Normal"/>
        <w:spacing w:lineRule="auto" w:line="276" w:before="120" w:after="120"/>
        <w:ind w:left="425"/>
        <w:jc w:val="both"/>
        <w:rPr>
          <w:rFonts w:ascii="Times New Roman" w:hAnsi="Times New Roman" w:cs="Arial"/>
          <w:sz w:val="24"/>
        </w:rPr>
      </w:pPr>
      <w:r>
        <w:rPr>
          <w:rFonts w:cs="Arial" w:ascii="Times New Roman" w:hAnsi="Times New Roman"/>
          <w:sz w:val="24"/>
        </w:rPr>
      </w:r>
    </w:p>
    <w:p>
      <w:pPr>
        <w:pStyle w:val="Heading1"/>
        <w:numPr>
          <w:ilvl w:val="0"/>
          <w:numId w:val="1"/>
        </w:numPr>
        <w:rPr>
          <w:rFonts w:ascii="Times New Roman" w:hAnsi="Times New Roman"/>
          <w:sz w:val="24"/>
        </w:rPr>
      </w:pPr>
      <w:bookmarkStart w:id="15" w:name="_Toc142925871"/>
      <w:r>
        <w:rPr>
          <w:rFonts w:ascii="Times New Roman" w:hAnsi="Times New Roman"/>
          <w:sz w:val="24"/>
        </w:rPr>
        <w:t>DAS DISPOSIÇÕES GERAIS</w:t>
      </w:r>
      <w:bookmarkEnd w:id="15"/>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Times New Roman" w:hAnsi="Times New Roman"/>
          <w:sz w:val="24"/>
        </w:rPr>
      </w:pPr>
      <w:bookmarkStart w:id="16" w:name="_Ref143510170"/>
      <w:r>
        <w:rPr>
          <w:rFonts w:cs="Arial" w:ascii="Times New Roman" w:hAnsi="Times New Roman"/>
          <w:color w:val="000000"/>
          <w:sz w:val="24"/>
        </w:rPr>
        <w:t>republicar o presente aviso com uma nova data;</w:t>
      </w:r>
      <w:bookmarkEnd w:id="16"/>
    </w:p>
    <w:p>
      <w:pPr>
        <w:pStyle w:val="Normal"/>
        <w:numPr>
          <w:ilvl w:val="2"/>
          <w:numId w:val="1"/>
        </w:numPr>
        <w:spacing w:lineRule="auto" w:line="276" w:before="120" w:after="120"/>
        <w:jc w:val="both"/>
        <w:rPr>
          <w:rFonts w:ascii="Times New Roman" w:hAnsi="Times New Roman"/>
          <w:sz w:val="24"/>
        </w:rPr>
      </w:pPr>
      <w:bookmarkStart w:id="17" w:name="_Ref143510198"/>
      <w:r>
        <w:rPr>
          <w:rFonts w:cs="Arial" w:ascii="Times New Roman" w:hAnsi="Times New Roman"/>
          <w:color w:val="000000"/>
          <w:sz w:val="24"/>
        </w:rPr>
        <w:t>valer-se, para a contratação, de proposta obtida na pesquisa de preços que serviu de base ao procedimento, se houver, privilegiando-se os menores preços, sempre que possível, e desde que atendidas às condições de habilitação exigidas.</w:t>
      </w:r>
      <w:bookmarkEnd w:id="17"/>
    </w:p>
    <w:p>
      <w:pPr>
        <w:pStyle w:val="Normal"/>
        <w:numPr>
          <w:ilvl w:val="3"/>
          <w:numId w:val="1"/>
        </w:numPr>
        <w:spacing w:lineRule="auto" w:line="276" w:before="120" w:after="120"/>
        <w:jc w:val="both"/>
        <w:rPr>
          <w:rFonts w:ascii="Times New Roman" w:hAnsi="Times New Roman"/>
          <w:sz w:val="24"/>
        </w:rPr>
      </w:pPr>
      <w:r>
        <w:rPr>
          <w:rFonts w:cs="Arial" w:ascii="Times New Roman" w:hAnsi="Times New Roman"/>
          <w:color w:val="000000"/>
          <w:sz w:val="24"/>
        </w:rPr>
        <w:t>No caso do subitem anterior, a contratação será operacionalizada fora deste procedimento.</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fixar prazo para que possa haver adequação das propostas ou da documentação de habilitação, conforme o caso.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 xml:space="preserve">As providências dos subitens </w:t>
      </w:r>
      <w:r>
        <w:rPr>
          <w:rFonts w:cs="Arial" w:ascii="Times New Roman" w:hAnsi="Times New Roman"/>
          <w:color w:val="000000"/>
          <w:sz w:val="24"/>
        </w:rPr>
        <w:fldChar w:fldCharType="begin"/>
      </w:r>
      <w:r>
        <w:rPr>
          <w:sz w:val="24"/>
          <w:rFonts w:cs="Arial" w:ascii="Times New Roman" w:hAnsi="Times New Roman"/>
          <w:color w:val="000000"/>
        </w:rPr>
        <w:instrText xml:space="preserve"> REF _Ref143510170 \r \h </w:instrText>
      </w:r>
      <w:r>
        <w:rPr>
          <w:sz w:val="24"/>
          <w:rFonts w:cs="Arial" w:ascii="Times New Roman" w:hAnsi="Times New Roman"/>
          <w:color w:val="000000"/>
        </w:rPr>
        <w:fldChar w:fldCharType="separate"/>
      </w:r>
      <w:r>
        <w:rPr>
          <w:sz w:val="24"/>
          <w:rFonts w:cs="Arial" w:ascii="Times New Roman" w:hAnsi="Times New Roman"/>
          <w:color w:val="000000"/>
        </w:rPr>
        <w:t>9.1.1</w:t>
      </w:r>
      <w:r>
        <w:rPr>
          <w:sz w:val="24"/>
          <w:rFonts w:cs="Arial" w:ascii="Times New Roman" w:hAnsi="Times New Roman"/>
          <w:color w:val="000000"/>
        </w:rPr>
        <w:fldChar w:fldCharType="end"/>
      </w:r>
      <w:r>
        <w:rPr>
          <w:rFonts w:cs="Arial" w:ascii="Times New Roman" w:hAnsi="Times New Roman"/>
          <w:color w:val="000000"/>
          <w:sz w:val="24"/>
        </w:rPr>
        <w:t xml:space="preserve">  e </w:t>
      </w:r>
      <w:r>
        <w:rPr>
          <w:rFonts w:cs="Arial" w:ascii="Times New Roman" w:hAnsi="Times New Roman"/>
          <w:color w:val="000000"/>
          <w:sz w:val="24"/>
        </w:rPr>
        <w:fldChar w:fldCharType="begin"/>
      </w:r>
      <w:r>
        <w:rPr>
          <w:sz w:val="24"/>
          <w:rFonts w:cs="Arial" w:ascii="Times New Roman" w:hAnsi="Times New Roman"/>
          <w:color w:val="000000"/>
        </w:rPr>
        <w:instrText xml:space="preserve"> REF _Ref143510198 \r \h </w:instrText>
      </w:r>
      <w:r>
        <w:rPr>
          <w:sz w:val="24"/>
          <w:rFonts w:cs="Arial" w:ascii="Times New Roman" w:hAnsi="Times New Roman"/>
          <w:color w:val="000000"/>
        </w:rPr>
        <w:fldChar w:fldCharType="separate"/>
      </w:r>
      <w:r>
        <w:rPr>
          <w:sz w:val="24"/>
          <w:rFonts w:cs="Arial" w:ascii="Times New Roman" w:hAnsi="Times New Roman"/>
          <w:color w:val="000000"/>
        </w:rPr>
        <w:t>9.1.2</w:t>
      </w:r>
      <w:r>
        <w:rPr>
          <w:sz w:val="24"/>
          <w:rFonts w:cs="Arial" w:ascii="Times New Roman" w:hAnsi="Times New Roman"/>
          <w:color w:val="000000"/>
        </w:rPr>
        <w:fldChar w:fldCharType="end"/>
      </w:r>
      <w:r>
        <w:rPr>
          <w:rFonts w:cs="Arial" w:ascii="Times New Roman" w:hAnsi="Times New Roman"/>
          <w:color w:val="000000"/>
          <w:sz w:val="24"/>
        </w:rPr>
        <w:t xml:space="preserve"> também poderão ser utilizadas se não houver o comparecimento de quaisquer fornecedores interessados (procedimento deserto).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themeColor="dark1" w:val="000000"/>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Da sessão pública será divulgada Ata no sistema eletrônico.</w:t>
      </w:r>
    </w:p>
    <w:p>
      <w:pPr>
        <w:pStyle w:val="Normal"/>
        <w:numPr>
          <w:ilvl w:val="1"/>
          <w:numId w:val="1"/>
        </w:numPr>
        <w:spacing w:lineRule="auto" w:line="276" w:before="120" w:after="120"/>
        <w:ind w:hanging="0" w:left="425"/>
        <w:jc w:val="both"/>
        <w:rPr>
          <w:rFonts w:ascii="Times New Roman" w:hAnsi="Times New Roman"/>
          <w:sz w:val="24"/>
        </w:rPr>
      </w:pPr>
      <w:r>
        <w:rPr>
          <w:rFonts w:cs="Arial" w:ascii="Times New Roman" w:hAnsi="Times New Roman"/>
          <w:color w:val="000000"/>
          <w:sz w:val="24"/>
        </w:rPr>
        <w:t>Integram este Aviso de Contratação Direta, para todos os fins e efeitos, os seguintes anexos:</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ANEXO I –  Termo de Referência</w:t>
      </w:r>
    </w:p>
    <w:p>
      <w:pPr>
        <w:pStyle w:val="Normal"/>
        <w:numPr>
          <w:ilvl w:val="2"/>
          <w:numId w:val="1"/>
        </w:numPr>
        <w:spacing w:lineRule="auto" w:line="276" w:before="120" w:after="120"/>
        <w:jc w:val="both"/>
        <w:rPr>
          <w:rFonts w:ascii="Times New Roman" w:hAnsi="Times New Roman"/>
          <w:sz w:val="24"/>
        </w:rPr>
      </w:pPr>
      <w:r>
        <w:rPr>
          <w:rFonts w:cs="Arial" w:ascii="Times New Roman" w:hAnsi="Times New Roman"/>
          <w:color w:val="000000"/>
          <w:sz w:val="24"/>
        </w:rPr>
        <w:t>ANEXO II- Modelos</w:t>
      </w:r>
    </w:p>
    <w:p>
      <w:pPr>
        <w:pStyle w:val="Normal"/>
        <w:spacing w:lineRule="auto" w:line="276" w:before="120" w:after="120"/>
        <w:jc w:val="both"/>
        <w:rPr>
          <w:rFonts w:ascii="Times New Roman" w:hAnsi="Times New Roman"/>
          <w:sz w:val="24"/>
        </w:rPr>
      </w:pPr>
      <w:r>
        <w:rPr>
          <w:rFonts w:ascii="Times New Roman" w:hAnsi="Times New Roman"/>
          <w:sz w:val="24"/>
        </w:rPr>
      </w:r>
    </w:p>
    <w:p>
      <w:pPr>
        <w:pStyle w:val="Normal"/>
        <w:spacing w:lineRule="auto" w:line="276" w:before="0" w:after="120"/>
        <w:ind w:left="360" w:right="-15"/>
        <w:jc w:val="both"/>
        <w:rPr>
          <w:rFonts w:ascii="Times New Roman" w:hAnsi="Times New Roman" w:cs="Arial"/>
          <w:color w:val="000000"/>
          <w:sz w:val="24"/>
        </w:rPr>
      </w:pPr>
      <w:r>
        <w:rPr>
          <w:rFonts w:cs="Arial" w:ascii="Times New Roman" w:hAnsi="Times New Roman"/>
          <w:color w:val="000000"/>
          <w:sz w:val="24"/>
        </w:rPr>
      </w:r>
    </w:p>
    <w:p>
      <w:pPr>
        <w:pStyle w:val="BodyText"/>
        <w:shd w:val="clear" w:fill="FFFFFF"/>
        <w:spacing w:before="120" w:after="120"/>
        <w:ind w:left="360" w:right="-15"/>
        <w:jc w:val="right"/>
        <w:rPr>
          <w:rFonts w:ascii="Times New Roman;serif" w:hAnsi="Times New Roman;serif" w:cs="Arial"/>
          <w:color w:val="000000"/>
          <w:sz w:val="22"/>
        </w:rPr>
      </w:pPr>
      <w:r>
        <w:rPr>
          <w:rFonts w:cs="Arial" w:ascii="Times New Roman;serif" w:hAnsi="Times New Roman;serif"/>
          <w:color w:val="000000"/>
          <w:sz w:val="22"/>
        </w:rPr>
        <w:t>Imperatriz, ma, 13 de setembro de 2024</w:t>
      </w:r>
    </w:p>
    <w:p>
      <w:pPr>
        <w:pStyle w:val="BodyText"/>
        <w:spacing w:lineRule="auto" w:line="360"/>
        <w:jc w:val="both"/>
        <w:rPr/>
      </w:pPr>
      <w:r>
        <w:rPr/>
      </w:r>
    </w:p>
    <w:p>
      <w:pPr>
        <w:pStyle w:val="BodyText"/>
        <w:spacing w:lineRule="auto" w:line="360"/>
        <w:jc w:val="both"/>
        <w:rPr/>
      </w:pPr>
      <w:r>
        <w:rPr/>
      </w:r>
    </w:p>
    <w:p>
      <w:pPr>
        <w:pStyle w:val="Contedodatabela3"/>
        <w:jc w:val="center"/>
        <w:rPr>
          <w:rFonts w:ascii="Times New Roman" w:hAnsi="Times New Roman" w:cs="Times New Roman"/>
          <w:b/>
          <w:bCs/>
          <w:sz w:val="22"/>
          <w:szCs w:val="22"/>
        </w:rPr>
      </w:pPr>
      <w:r>
        <w:rPr>
          <w:rFonts w:cs="Times New Roman" w:ascii="Times New Roman" w:hAnsi="Times New Roman"/>
          <w:b/>
          <w:bCs/>
          <w:sz w:val="22"/>
          <w:szCs w:val="22"/>
        </w:rPr>
        <w:t>CARLOS HENRIQUE LEITE DE SOUZA – Ten Cel</w:t>
      </w:r>
    </w:p>
    <w:p>
      <w:pPr>
        <w:pStyle w:val="BodyText"/>
        <w:spacing w:lineRule="auto" w:line="240" w:before="0" w:after="0"/>
        <w:jc w:val="center"/>
        <w:rPr>
          <w:rFonts w:ascii="Times New Roman;serif" w:hAnsi="Times New Roman;serif"/>
          <w:sz w:val="22"/>
        </w:rPr>
      </w:pPr>
      <w:r>
        <w:rPr>
          <w:rFonts w:ascii="Times New Roman;serif" w:hAnsi="Times New Roman;serif"/>
          <w:color w:val="000000"/>
          <w:sz w:val="22"/>
        </w:rPr>
        <w:t>Ordenador de Despesas do 50º BIS</w:t>
      </w:r>
    </w:p>
    <w:p>
      <w:pPr>
        <w:pStyle w:val="Normal"/>
        <w:rPr>
          <w:rFonts w:ascii="Times New Roman" w:hAnsi="Times New Roman"/>
          <w:sz w:val="24"/>
        </w:rPr>
      </w:pPr>
      <w:r>
        <w:rPr>
          <w:rFonts w:ascii="Times New Roman" w:hAnsi="Times New Roman"/>
          <w:sz w:val="24"/>
        </w:rPr>
      </w:r>
    </w:p>
    <w:sectPr>
      <w:headerReference w:type="default" r:id="rId13"/>
      <w:headerReference w:type="first" r:id="rId14"/>
      <w:footerReference w:type="default" r:id="rId15"/>
      <w:footerReference w:type="first" r:id="rId16"/>
      <w:type w:val="nextPage"/>
      <w:pgSz w:w="11906" w:h="16838"/>
      <w:pgMar w:left="1134" w:right="850" w:gutter="0" w:header="680" w:top="1304" w:footer="0" w:bottom="680"/>
      <w:pgNumType w:fmt="decimal"/>
      <w:formProt w:val="false"/>
      <w:textDirection w:val="lrTb"/>
      <w:docGrid w:type="default" w:linePitch="36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Calibri Light">
    <w:charset w:val="00"/>
    <w:family w:val="swiss"/>
    <w:pitch w:val="variable"/>
  </w:font>
  <w:font w:name="Cambria">
    <w:charset w:val="00"/>
    <w:family w:val="roman"/>
    <w:pitch w:val="variable"/>
  </w:font>
  <w:font w:name="Calibri Light">
    <w:charset w:val="00"/>
    <w:family w:val="roman"/>
    <w:pitch w:val="variable"/>
  </w:font>
  <w:font w:name="Times New Roman">
    <w:charset w:val="00"/>
    <w:family w:val="swiss"/>
    <w:pitch w:val="variable"/>
  </w:font>
  <w:font w:name="Times New Roman">
    <w:altName w:val="serif"/>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12"/>
        <w:szCs w:val="12"/>
      </w:rPr>
    </w:pPr>
    <w:r>
      <w:rPr>
        <w:sz w:val="12"/>
        <w:szCs w:val="12"/>
      </w:rPr>
    </w:r>
  </w:p>
  <w:p>
    <w:pPr>
      <w:pStyle w:val="Normal"/>
      <w:tabs>
        <w:tab w:val="clear" w:pos="708"/>
        <w:tab w:val="center" w:pos="4550" w:leader="none"/>
        <w:tab w:val="left" w:pos="5818" w:leader="none"/>
      </w:tabs>
      <w:ind w:right="260"/>
      <w:jc w:val="right"/>
      <w:rPr>
        <w:color w:themeColor="dark2" w:themeShade="80" w:val="222A35"/>
        <w:sz w:val="18"/>
        <w:szCs w:val="18"/>
      </w:rPr>
    </w:pPr>
    <w:r>
      <w:rPr>
        <w:color w:themeColor="dark2" w:themeTint="99" w:val="8496B0"/>
        <w:spacing w:val="60"/>
        <w:sz w:val="18"/>
        <w:szCs w:val="18"/>
      </w:rPr>
      <w:t>Página</w:t>
    </w:r>
    <w:r>
      <w:rPr>
        <w:color w:themeColor="dark2" w:themeTint="99" w:val="8496B0"/>
        <w:sz w:val="18"/>
        <w:szCs w:val="18"/>
      </w:rPr>
      <w:t xml:space="preserve"> </w:t>
    </w:r>
    <w:r>
      <w:rPr>
        <w:color w:themeColor="dark2" w:themeShade="bf" w:val="323E4F"/>
        <w:sz w:val="18"/>
        <w:szCs w:val="18"/>
      </w:rPr>
      <w:fldChar w:fldCharType="begin"/>
    </w:r>
    <w:r>
      <w:rPr>
        <w:sz w:val="18"/>
        <w:szCs w:val="18"/>
        <w:color w:themeColor="dark2" w:themeShade="bf" w:val="323E4F"/>
      </w:rPr>
      <w:instrText xml:space="preserve"> PAGE </w:instrText>
    </w:r>
    <w:r>
      <w:rPr>
        <w:sz w:val="18"/>
        <w:szCs w:val="18"/>
        <w:color w:themeColor="dark2" w:themeShade="bf" w:val="323E4F"/>
      </w:rPr>
      <w:fldChar w:fldCharType="separate"/>
    </w:r>
    <w:r>
      <w:rPr>
        <w:sz w:val="18"/>
        <w:szCs w:val="18"/>
        <w:color w:themeColor="dark2" w:themeShade="bf" w:val="323E4F"/>
      </w:rPr>
      <w:t>3</w:t>
    </w:r>
    <w:r>
      <w:rPr>
        <w:sz w:val="18"/>
        <w:szCs w:val="18"/>
        <w:color w:themeColor="dark2" w:themeShade="bf" w:val="323E4F"/>
      </w:rPr>
      <w:fldChar w:fldCharType="end"/>
    </w:r>
    <w:r>
      <w:rPr>
        <w:color w:themeColor="dark2" w:themeShade="bf" w:val="323E4F"/>
        <w:sz w:val="18"/>
        <w:szCs w:val="18"/>
      </w:rPr>
      <w:t xml:space="preserve"> | </w:t>
    </w:r>
    <w:r>
      <w:rPr>
        <w:color w:themeColor="dark2" w:themeShade="bf" w:val="323E4F"/>
        <w:sz w:val="18"/>
        <w:szCs w:val="18"/>
      </w:rPr>
      <w:fldChar w:fldCharType="begin"/>
    </w:r>
    <w:r>
      <w:rPr>
        <w:sz w:val="18"/>
        <w:szCs w:val="18"/>
        <w:color w:themeColor="dark2" w:themeShade="bf" w:val="323E4F"/>
      </w:rPr>
      <w:instrText xml:space="preserve"> NUMPAGES </w:instrText>
    </w:r>
    <w:r>
      <w:rPr>
        <w:sz w:val="18"/>
        <w:szCs w:val="18"/>
        <w:color w:themeColor="dark2" w:themeShade="bf" w:val="323E4F"/>
      </w:rPr>
      <w:fldChar w:fldCharType="separate"/>
    </w:r>
    <w:r>
      <w:rPr>
        <w:sz w:val="18"/>
        <w:szCs w:val="18"/>
        <w:color w:themeColor="dark2" w:themeShade="bf" w:val="323E4F"/>
      </w:rPr>
      <w:t>17</w:t>
    </w:r>
    <w:r>
      <w:rPr>
        <w:sz w:val="18"/>
        <w:szCs w:val="18"/>
        <w:color w:themeColor="dark2" w:themeShade="bf" w:val="323E4F"/>
      </w:rPr>
      <w:fldChar w:fldCharType="end"/>
    </w:r>
  </w:p>
  <w:p>
    <w:pPr>
      <w:pStyle w:val="Footer"/>
      <w:rPr>
        <w:sz w:val="12"/>
        <w:szCs w:val="12"/>
      </w:rPr>
    </w:pPr>
    <w:r>
      <w:rPr>
        <w:sz w:val="12"/>
        <w:szCs w:val="12"/>
      </w:rPr>
    </w:r>
  </w:p>
  <w:p>
    <w:pPr>
      <w:pStyle w:val="Footer"/>
      <w:rPr>
        <w:sz w:val="12"/>
        <w:szCs w:val="12"/>
      </w:rPr>
    </w:pPr>
    <w:r>
      <w:rPr>
        <w:sz w:val="12"/>
        <w:szCs w:val="12"/>
      </w:rPr>
      <w:t>Câmara Nacional de Modelos de Licitações e Contratos – CNMLC/CGU/AGU</w:t>
    </w:r>
  </w:p>
  <w:p>
    <w:pPr>
      <w:pStyle w:val="Footer"/>
      <w:rPr>
        <w:sz w:val="12"/>
        <w:szCs w:val="12"/>
      </w:rPr>
    </w:pPr>
    <w:r>
      <w:rPr>
        <w:sz w:val="12"/>
        <w:szCs w:val="12"/>
      </w:rPr>
      <w:t>Aviso de Contratação Direta – Lei nº 14.133/21 e IN SEGES/ME nº 67/2021</w:t>
    </w:r>
  </w:p>
  <w:p>
    <w:pPr>
      <w:pStyle w:val="Footer"/>
      <w:rPr>
        <w:sz w:val="12"/>
        <w:szCs w:val="12"/>
      </w:rPr>
    </w:pPr>
    <w:r>
      <w:rPr>
        <w:sz w:val="12"/>
        <w:szCs w:val="12"/>
      </w:rPr>
      <w:t>Versão: agosto/2023</w:t>
    </w:r>
  </w:p>
  <w:p>
    <w:pPr>
      <w:pStyle w:val="Footer"/>
      <w:rPr>
        <w:sz w:val="12"/>
        <w:szCs w:val="12"/>
      </w:rPr>
    </w:pPr>
    <w:r>
      <w:rPr>
        <w:sz w:val="12"/>
        <w:szCs w:val="12"/>
      </w:rPr>
      <w:t>Aprovado pela Secretaria de Gestão.</w:t>
    </w:r>
  </w:p>
  <w:p>
    <w:pPr>
      <w:pStyle w:val="Footer"/>
      <w:rPr>
        <w:sz w:val="12"/>
        <w:szCs w:val="12"/>
      </w:rPr>
    </w:pPr>
    <w:r>
      <w:rPr>
        <w:sz w:val="12"/>
        <w:szCs w:val="12"/>
      </w:rPr>
      <w:t>Identidade visual pela Secretaria de Gestão (versão agosto/2023)</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r>
  </w:p>
  <w:p>
    <w:pPr>
      <w:pStyle w:val="Header"/>
      <w:rPr/>
    </w:pPr>
    <w:r>
      <w:rPr/>
    </w:r>
  </w:p>
  <w:p>
    <w:pPr>
      <w:pStyle w:val="Normal"/>
      <w:jc w:val="right"/>
      <w:rPr>
        <w:rFonts w:cs="Arial"/>
        <w:b/>
        <w:bCs/>
        <w:color w:val="5B5B5F"/>
        <w:sz w:val="28"/>
        <w:szCs w:val="28"/>
      </w:rPr>
    </w:pPr>
    <w:r>
      <w:rPr/>
      <w:t>AVISO DE DISPENSA ELETRÔNICA Nº 90.022/2024</w:t>
    </w:r>
  </w:p>
  <w:p>
    <w:pPr>
      <w:pStyle w:val="Header"/>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2">
          <wp:simplePos x="0" y="0"/>
          <wp:positionH relativeFrom="column">
            <wp:posOffset>-1080135</wp:posOffset>
          </wp:positionH>
          <wp:positionV relativeFrom="paragraph">
            <wp:posOffset>635</wp:posOffset>
          </wp:positionV>
          <wp:extent cx="7560310" cy="10692765"/>
          <wp:effectExtent l="0" t="0" r="0" b="0"/>
          <wp:wrapNone/>
          <wp:docPr id="1" name="Imagem 8" descr="Texto&#10;&#10;Descrição gerada automaticamente com confiança média">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a:hlinkClick r:id="rId2"/>
                  </pic:cNvPr>
                  <pic:cNvPicPr>
                    <a:picLocks noChangeAspect="1" noChangeArrowheads="1"/>
                  </pic:cNvPicPr>
                </pic:nvPicPr>
                <pic:blipFill>
                  <a:blip r:embed="rId1"/>
                  <a:stretch>
                    <a:fillRect/>
                  </a:stretch>
                </pic:blipFill>
                <pic:spPr bwMode="auto">
                  <a:xfrm>
                    <a:off x="0" y="0"/>
                    <a:ext cx="7560310" cy="10692765"/>
                  </a:xfrm>
                  <a:prstGeom prst="rect">
                    <a:avLst/>
                  </a:prstGeom>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16" w:hanging="432"/>
      </w:pPr>
      <w:rPr>
        <w:i w:val="false"/>
        <w:b w:val="false"/>
        <w:iCs/>
      </w:rPr>
    </w:lvl>
    <w:lvl w:ilvl="2">
      <w:start w:val="1"/>
      <w:numFmt w:val="decimal"/>
      <w:lvlText w:val="%1.%2.%3."/>
      <w:lvlJc w:val="left"/>
      <w:pPr>
        <w:tabs>
          <w:tab w:val="num" w:pos="0"/>
        </w:tabs>
        <w:ind w:left="1224" w:hanging="504"/>
      </w:pPr>
      <w:rPr>
        <w:i w:val="false"/>
        <w:b w:val="false"/>
        <w:iCs/>
        <w:rFonts w:ascii="Times New Roman" w:hAnsi="Times New Roman" w:cs="Arial"/>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1"/>
  <w:defaultTabStop w:val="708"/>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Arial" w:hAnsi="Arial" w:eastAsia="Times New Roman" w:cs="Tahoma"/>
      <w:color w:val="auto"/>
      <w:kern w:val="0"/>
      <w:sz w:val="20"/>
      <w:szCs w:val="24"/>
      <w:lang w:val="pt-BR" w:eastAsia="pt-BR" w:bidi="ar-SA"/>
    </w:rPr>
  </w:style>
  <w:style w:type="paragraph" w:styleId="Heading1">
    <w:name w:val="Heading 1"/>
    <w:basedOn w:val="PADRO"/>
    <w:next w:val="Normal"/>
    <w:link w:val="Ttulo1Char"/>
    <w:qFormat/>
    <w:pPr>
      <w:keepNext w:val="false"/>
      <w:widowControl/>
      <w:numPr>
        <w:ilvl w:val="0"/>
        <w:numId w:val="1"/>
      </w:numPr>
      <w:shd w:val="clear" w:fill="auto"/>
      <w:spacing w:before="120" w:after="120"/>
      <w:outlineLvl w:val="0"/>
    </w:pPr>
    <w:rPr>
      <w:rFonts w:ascii="Arial" w:hAnsi="Arial" w:cs="Arial"/>
      <w:b/>
    </w:rPr>
  </w:style>
  <w:style w:type="character" w:styleId="DefaultParagraphFont">
    <w:name w:val="Default Paragraph Font"/>
    <w:qFormat/>
    <w:rPr/>
  </w:style>
  <w:style w:type="character" w:styleId="Ttulo1Char">
    <w:name w:val="Título 1 Char"/>
    <w:basedOn w:val="DefaultParagraphFont"/>
    <w:qFormat/>
    <w:rPr>
      <w:rFonts w:ascii="Arial" w:hAnsi="Arial" w:eastAsia="WenQuanYi Micro Hei" w:cs="Arial"/>
      <w:b/>
      <w:sz w:val="20"/>
      <w:szCs w:val="24"/>
      <w:lang w:eastAsia="zh-CN" w:bidi="hi-IN"/>
    </w:rPr>
  </w:style>
  <w:style w:type="character" w:styleId="CitaoChar">
    <w:name w:val="Citação Char"/>
    <w:basedOn w:val="DefaultParagraphFont"/>
    <w:link w:val="Quote"/>
    <w:qFormat/>
    <w:rPr>
      <w:rFonts w:ascii="Arial" w:hAnsi="Arial" w:eastAsia="Calibri" w:cs="Tahoma"/>
      <w:i/>
      <w:iCs/>
      <w:color w:val="000000"/>
      <w:sz w:val="20"/>
      <w:szCs w:val="24"/>
      <w:shd w:fill="FFFFCC" w:val="clear"/>
    </w:rPr>
  </w:style>
  <w:style w:type="character" w:styleId="Nivel01Char">
    <w:name w:val="Nivel 01 Char"/>
    <w:basedOn w:val="Ttulo1Char"/>
    <w:link w:val="Nivel01"/>
    <w:qFormat/>
    <w:rPr>
      <w:rFonts w:ascii="Arial" w:hAnsi="Arial" w:eastAsia="Calibri" w:cs="Times New Roman"/>
      <w:b w:val="false"/>
      <w:bCs/>
      <w:color w:val="000000"/>
      <w:sz w:val="20"/>
      <w:szCs w:val="20"/>
      <w:lang w:eastAsia="pt-BR" w:bidi="hi-IN"/>
    </w:rPr>
  </w:style>
  <w:style w:type="character" w:styleId="Citao2Char">
    <w:name w:val="citação 2 Char"/>
    <w:basedOn w:val="CitaoChar"/>
    <w:qFormat/>
    <w:rPr>
      <w:rFonts w:ascii="Arial" w:hAnsi="Arial" w:eastAsia="Calibri" w:cs="Tahoma"/>
      <w:i/>
      <w:iCs/>
      <w:color w:val="000000"/>
      <w:sz w:val="20"/>
      <w:szCs w:val="20"/>
      <w:shd w:fill="FFFFCC" w:val="clear"/>
    </w:rPr>
  </w:style>
  <w:style w:type="character" w:styleId="QuoteChar">
    <w:name w:val="Quote Char"/>
    <w:basedOn w:val="DefaultParagraphFont"/>
    <w:link w:val="Citao1"/>
    <w:qFormat/>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link w:val="Annotationtext"/>
    <w:qFormat/>
    <w:rPr>
      <w:rFonts w:ascii="Arial" w:hAnsi="Arial" w:eastAsia="Times New Roman" w:cs="Tahoma"/>
      <w:sz w:val="20"/>
      <w:szCs w:val="20"/>
      <w:lang w:eastAsia="pt-BR"/>
    </w:rPr>
  </w:style>
  <w:style w:type="character" w:styleId="AssuntodocomentrioChar">
    <w:name w:val="Assunto do comentário Char"/>
    <w:basedOn w:val="TextodecomentrioChar"/>
    <w:link w:val="Annotationsubject"/>
    <w:qFormat/>
    <w:rPr>
      <w:rFonts w:ascii="Arial" w:hAnsi="Arial" w:eastAsia="Times New Roman" w:cs="Tahoma"/>
      <w:b/>
      <w:bCs/>
      <w:sz w:val="20"/>
      <w:szCs w:val="20"/>
      <w:lang w:eastAsia="pt-BR"/>
    </w:rPr>
  </w:style>
  <w:style w:type="character" w:styleId="Hyperlink">
    <w:name w:val="Hyperlink"/>
    <w:basedOn w:val="DefaultParagraphFont"/>
    <w:rPr>
      <w:color w:themeColor="hyperlink" w:val="0563C1"/>
      <w:u w:val="single"/>
    </w:rPr>
  </w:style>
  <w:style w:type="character" w:styleId="Nivel4Char">
    <w:name w:val="Nivel 4 Char"/>
    <w:basedOn w:val="DefaultParagraphFont"/>
    <w:link w:val="Nivel4"/>
    <w:qFormat/>
    <w:rPr>
      <w:rFonts w:ascii="Ecofont_Spranq_eco_Sans" w:hAnsi="Ecofont_Spranq_eco_Sans" w:eastAsia="Arial Unicode MS" w:cs="Arial"/>
      <w:sz w:val="20"/>
      <w:szCs w:val="20"/>
      <w:lang w:eastAsia="pt-BR"/>
    </w:rPr>
  </w:style>
  <w:style w:type="character" w:styleId="TextodebaloChar">
    <w:name w:val="Texto de balão Char"/>
    <w:basedOn w:val="DefaultParagraphFont"/>
    <w:link w:val="BalloonText"/>
    <w:qFormat/>
    <w:rPr>
      <w:rFonts w:ascii="Segoe UI" w:hAnsi="Segoe UI" w:eastAsia="Times New Roman" w:cs="Segoe UI"/>
      <w:sz w:val="18"/>
      <w:szCs w:val="18"/>
      <w:lang w:eastAsia="pt-BR"/>
    </w:rPr>
  </w:style>
  <w:style w:type="character" w:styleId="CabealhoChar">
    <w:name w:val="Cabeçalho Char"/>
    <w:basedOn w:val="DefaultParagraphFont"/>
    <w:qFormat/>
    <w:rPr>
      <w:rFonts w:ascii="Arial" w:hAnsi="Arial" w:eastAsia="Times New Roman" w:cs="Tahoma"/>
      <w:sz w:val="20"/>
      <w:szCs w:val="24"/>
      <w:lang w:eastAsia="pt-BR"/>
    </w:rPr>
  </w:style>
  <w:style w:type="character" w:styleId="RodapChar">
    <w:name w:val="Rodapé Char"/>
    <w:basedOn w:val="DefaultParagraphFont"/>
    <w:qFormat/>
    <w:rPr>
      <w:rFonts w:ascii="Arial" w:hAnsi="Arial" w:eastAsia="Times New Roman" w:cs="Tahoma"/>
      <w:sz w:val="20"/>
      <w:szCs w:val="24"/>
      <w:lang w:eastAsia="pt-BR"/>
    </w:rPr>
  </w:style>
  <w:style w:type="character" w:styleId="FollowedHyperlink">
    <w:name w:val="FollowedHyperlink"/>
    <w:basedOn w:val="DefaultParagraphFont"/>
    <w:rPr>
      <w:color w:themeColor="followedHyperlink" w:val="954F72"/>
      <w:u w:val="single"/>
    </w:rPr>
  </w:style>
  <w:style w:type="character" w:styleId="Strong">
    <w:name w:val="Strong"/>
    <w:basedOn w:val="DefaultParagraphFont"/>
    <w:qFormat/>
    <w:rPr>
      <w:b/>
      <w:bCs/>
    </w:rPr>
  </w:style>
  <w:style w:type="character" w:styleId="TtuloChar">
    <w:name w:val="Título Char"/>
    <w:basedOn w:val="DefaultParagraphFont"/>
    <w:qFormat/>
    <w:rPr>
      <w:rFonts w:ascii="Liberation Sans" w:hAnsi="Liberation Sans" w:eastAsia="Noto Sans CJK SC" w:cs="FreeSans"/>
      <w:sz w:val="28"/>
      <w:szCs w:val="28"/>
      <w:lang w:eastAsia="pt-BR"/>
    </w:rPr>
  </w:style>
  <w:style w:type="character" w:styleId="CorpodetextoChar">
    <w:name w:val="Corpo de texto Char"/>
    <w:basedOn w:val="DefaultParagraphFont"/>
    <w:qFormat/>
    <w:rPr>
      <w:rFonts w:ascii="Arial" w:hAnsi="Arial" w:eastAsia="Times New Roman" w:cs="Tahoma"/>
      <w:sz w:val="20"/>
      <w:szCs w:val="24"/>
      <w:lang w:eastAsia="pt-BR"/>
    </w:rPr>
  </w:style>
  <w:style w:type="character" w:styleId="CitaoChar1">
    <w:name w:val="Citação Char1"/>
    <w:basedOn w:val="DefaultParagraphFont"/>
    <w:qFormat/>
    <w:rPr>
      <w:rFonts w:ascii="Arial" w:hAnsi="Arial" w:eastAsia="Times New Roman" w:cs="Tahoma"/>
      <w:i/>
      <w:iCs/>
      <w:color w:themeColor="dark1" w:themeTint="bf" w:val="404040"/>
      <w:sz w:val="20"/>
      <w:szCs w:val="24"/>
      <w:lang w:eastAsia="pt-BR"/>
    </w:rPr>
  </w:style>
  <w:style w:type="character" w:styleId="TextodecomentrioChar1">
    <w:name w:val="Texto de comentário Char1"/>
    <w:basedOn w:val="DefaultParagraphFont"/>
    <w:qFormat/>
    <w:rPr>
      <w:rFonts w:ascii="Arial" w:hAnsi="Arial" w:eastAsia="Times New Roman" w:cs="Tahoma"/>
      <w:sz w:val="20"/>
      <w:szCs w:val="20"/>
      <w:lang w:eastAsia="pt-BR"/>
    </w:rPr>
  </w:style>
  <w:style w:type="character" w:styleId="AssuntodocomentrioChar1">
    <w:name w:val="Assunto do comentário Char1"/>
    <w:basedOn w:val="TextodecomentrioChar1"/>
    <w:qFormat/>
    <w:rPr>
      <w:rFonts w:ascii="Arial" w:hAnsi="Arial" w:eastAsia="Times New Roman" w:cs="Tahoma"/>
      <w:b/>
      <w:bCs/>
      <w:sz w:val="20"/>
      <w:szCs w:val="20"/>
      <w:lang w:eastAsia="pt-BR"/>
    </w:rPr>
  </w:style>
  <w:style w:type="character" w:styleId="TextodebaloChar1">
    <w:name w:val="Texto de balão Char1"/>
    <w:basedOn w:val="DefaultParagraphFont"/>
    <w:qFormat/>
    <w:rPr>
      <w:rFonts w:ascii="Segoe UI" w:hAnsi="Segoe UI" w:eastAsia="Times New Roman" w:cs="Segoe UI"/>
      <w:sz w:val="18"/>
      <w:szCs w:val="18"/>
      <w:lang w:eastAsia="pt-BR"/>
    </w:rPr>
  </w:style>
  <w:style w:type="character" w:styleId="CabealhoChar1">
    <w:name w:val="Cabeçalho Char1"/>
    <w:basedOn w:val="DefaultParagraphFont"/>
    <w:qFormat/>
    <w:rPr>
      <w:rFonts w:ascii="Arial" w:hAnsi="Arial" w:eastAsia="Times New Roman" w:cs="Tahoma"/>
      <w:sz w:val="20"/>
      <w:szCs w:val="24"/>
      <w:lang w:eastAsia="pt-BR"/>
    </w:rPr>
  </w:style>
  <w:style w:type="character" w:styleId="RodapChar1">
    <w:name w:val="Rodapé Char1"/>
    <w:basedOn w:val="DefaultParagraphFont"/>
    <w:qFormat/>
    <w:rPr>
      <w:rFonts w:ascii="Arial" w:hAnsi="Arial" w:eastAsia="Times New Roman" w:cs="Tahoma"/>
      <w:sz w:val="20"/>
      <w:szCs w:val="24"/>
      <w:lang w:eastAsia="pt-BR"/>
    </w:rPr>
  </w:style>
  <w:style w:type="character" w:styleId="Cf01">
    <w:name w:val="cf01"/>
    <w:basedOn w:val="DefaultParagraphFont"/>
    <w:qFormat/>
    <w:rPr>
      <w:rFonts w:ascii="Segoe UI" w:hAnsi="Segoe UI" w:cs="Segoe UI"/>
      <w:color w:val="555555"/>
      <w:sz w:val="18"/>
      <w:szCs w:val="18"/>
      <w:shd w:fill="FFFFFF" w:val="clear"/>
    </w:rPr>
  </w:style>
  <w:style w:type="character" w:styleId="MenoPendente1">
    <w:name w:val="Menção Pendente1"/>
    <w:basedOn w:val="DefaultParagraphFont"/>
    <w:qFormat/>
    <w:rPr>
      <w:color w:val="605E5C"/>
      <w:shd w:fill="E1DFDD" w:val="clear"/>
    </w:rPr>
  </w:style>
  <w:style w:type="character" w:styleId="PlaceholderText">
    <w:name w:val="Placeholder Text"/>
    <w:basedOn w:val="DefaultParagraphFont"/>
    <w:qFormat/>
    <w:rPr>
      <w:color w:val="808080"/>
    </w:rPr>
  </w:style>
  <w:style w:type="character" w:styleId="Estilo1">
    <w:name w:val="Estilo1"/>
    <w:basedOn w:val="DefaultParagraphFont"/>
    <w:qFormat/>
    <w:rPr>
      <w:rFonts w:ascii="Arial" w:hAnsi="Arial"/>
      <w:b/>
      <w:color w:themeColor="accent6" w:themeShade="bf" w:val="538135"/>
      <w:sz w:val="24"/>
    </w:rPr>
  </w:style>
  <w:style w:type="character" w:styleId="UnresolvedMention">
    <w:name w:val="Unresolved Mention"/>
    <w:basedOn w:val="DefaultParagraphFont"/>
    <w:qFormat/>
    <w:rPr>
      <w:color w:val="605E5C"/>
      <w:shd w:fill="E1DFDD" w:val="clear"/>
    </w:rPr>
  </w:style>
  <w:style w:type="character" w:styleId="Nivel2Char">
    <w:name w:val="Nivel 2 Char"/>
    <w:basedOn w:val="DefaultParagraphFont"/>
    <w:link w:val="Nivel2"/>
    <w:qFormat/>
    <w:rPr>
      <w:rFonts w:ascii="Ecofont_Spranq_eco_Sans" w:hAnsi="Ecofont_Spranq_eco_Sans" w:eastAsia="Arial Unicode MS" w:cs="Times New Roman"/>
      <w:sz w:val="20"/>
      <w:szCs w:val="20"/>
      <w:lang w:eastAsia="pt-BR"/>
    </w:rPr>
  </w:style>
  <w:style w:type="character" w:styleId="Nvel3-RChar">
    <w:name w:val="Nível 3-R Char"/>
    <w:basedOn w:val="DefaultParagraphFont"/>
    <w:link w:val="Nvel3-R"/>
    <w:qFormat/>
    <w:rPr>
      <w:rFonts w:ascii="Arial" w:hAnsi="Arial" w:eastAsia="Calibri" w:cs="Arial"/>
      <w:i/>
      <w:iCs/>
      <w:color w:val="FF0000"/>
      <w:sz w:val="20"/>
      <w:szCs w:val="20"/>
      <w:lang w:eastAsia="pt-BR"/>
    </w:rPr>
  </w:style>
  <w:style w:type="character" w:styleId="Nvel4-RChar">
    <w:name w:val="Nível 4-R Char"/>
    <w:basedOn w:val="Nivel4Char"/>
    <w:link w:val="Nvel4-R"/>
    <w:qFormat/>
    <w:rPr>
      <w:rFonts w:ascii="Arial" w:hAnsi="Arial" w:eastAsia="Calibri" w:cs="Arial"/>
      <w:i/>
      <w:iCs/>
      <w:color w:val="FF0000"/>
      <w:sz w:val="20"/>
      <w:szCs w:val="20"/>
      <w:lang w:eastAsia="pt-BR"/>
    </w:rPr>
  </w:style>
  <w:style w:type="character" w:styleId="Vnculodendice">
    <w:name w:val="Vínculo de índice"/>
    <w:qFormat/>
    <w:rPr/>
  </w:style>
  <w:style w:type="character" w:styleId="CabealhoChar2">
    <w:name w:val="Cabeçalho Char2"/>
    <w:basedOn w:val="DefaultParagraphFont"/>
    <w:qFormat/>
    <w:rPr>
      <w:rFonts w:ascii="Arial" w:hAnsi="Arial" w:eastAsia="Times New Roman"/>
      <w:sz w:val="20"/>
      <w:szCs w:val="24"/>
      <w:lang w:eastAsia="pt-BR"/>
    </w:rPr>
  </w:style>
  <w:style w:type="character" w:styleId="RodapChar2">
    <w:name w:val="Rodapé Char2"/>
    <w:basedOn w:val="DefaultParagraphFont"/>
    <w:qFormat/>
    <w:rPr>
      <w:rFonts w:ascii="Arial" w:hAnsi="Arial" w:eastAsia="Times New Roman"/>
      <w:sz w:val="20"/>
      <w:szCs w:val="24"/>
      <w:lang w:eastAsia="pt-BR"/>
    </w:rPr>
  </w:style>
  <w:style w:type="character" w:styleId="Smbolosdenumerao">
    <w:name w:val="Símbolos de numeração"/>
    <w:qFormat/>
    <w:rPr/>
  </w:style>
  <w:style w:type="character" w:styleId="CabealhoChar3">
    <w:name w:val="Cabeçalho Char3"/>
    <w:basedOn w:val="DefaultParagraphFont"/>
    <w:qFormat/>
    <w:rPr>
      <w:rFonts w:ascii="Arial" w:hAnsi="Arial" w:eastAsia="Times New Roman"/>
      <w:sz w:val="20"/>
      <w:szCs w:val="24"/>
      <w:lang w:eastAsia="pt-BR"/>
    </w:rPr>
  </w:style>
  <w:style w:type="character" w:styleId="RodapChar3">
    <w:name w:val="Rodapé Char3"/>
    <w:basedOn w:val="DefaultParagraphFont"/>
    <w:qFormat/>
    <w:rPr>
      <w:rFonts w:ascii="Arial" w:hAnsi="Arial" w:eastAsia="Times New Roman"/>
      <w:sz w:val="20"/>
      <w:szCs w:val="24"/>
      <w:lang w:eastAsia="pt-BR"/>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Arial"/>
      <w:i/>
      <w:iCs/>
      <w:sz w:val="24"/>
    </w:rPr>
  </w:style>
  <w:style w:type="paragraph" w:styleId="Ndice">
    <w:name w:val="Índice"/>
    <w:basedOn w:val="Normal"/>
    <w:qFormat/>
    <w:pPr>
      <w:suppressLineNumbers/>
    </w:pPr>
    <w:rPr>
      <w:rFonts w:cs="FreeSans"/>
    </w:rPr>
  </w:style>
  <w:style w:type="paragraph" w:styleId="Title">
    <w:name w:val="Title"/>
    <w:basedOn w:val="Normal"/>
    <w:next w:val="BodyText"/>
    <w:link w:val="TtuloChar"/>
    <w:qFormat/>
    <w:pPr>
      <w:keepNext w:val="true"/>
      <w:spacing w:before="240" w:after="120"/>
    </w:pPr>
    <w:rPr>
      <w:rFonts w:ascii="Liberation Sans" w:hAnsi="Liberation Sans" w:eastAsia="Noto Sans CJK SC" w:cs="FreeSans"/>
      <w:sz w:val="28"/>
      <w:szCs w:val="28"/>
    </w:rPr>
  </w:style>
  <w:style w:type="paragraph" w:styleId="Caption1">
    <w:name w:val="caption1"/>
    <w:basedOn w:val="Normal"/>
    <w:qFormat/>
    <w:pPr>
      <w:suppressLineNumbers/>
      <w:spacing w:before="120" w:after="120"/>
    </w:pPr>
    <w:rPr>
      <w:rFonts w:cs="FreeSans"/>
      <w:i/>
      <w:iCs/>
      <w:sz w:val="24"/>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lang w:eastAsia="en-US"/>
    </w:rPr>
  </w:style>
  <w:style w:type="paragraph" w:styleId="Nivel01">
    <w:name w:val="Nivel 01"/>
    <w:basedOn w:val="Heading1"/>
    <w:next w:val="Normal"/>
    <w:link w:val="Nivel01Char"/>
    <w:qFormat/>
    <w:pPr>
      <w:spacing w:before="480" w:after="120"/>
      <w:ind w:right="-15"/>
    </w:pPr>
    <w:rPr>
      <w:rFonts w:cs="Times New Roman"/>
      <w:b w:val="false"/>
      <w:bCs/>
      <w:color w:val="000000"/>
      <w:szCs w:val="20"/>
    </w:rPr>
  </w:style>
  <w:style w:type="paragraph" w:styleId="PADRO">
    <w:name w:val="PADRÃO"/>
    <w:qFormat/>
    <w:pPr>
      <w:keepNext w:val="true"/>
      <w:widowControl w:val="false"/>
      <w:shd w:val="clear" w:fill="FFFFFF"/>
      <w:suppressAutoHyphens w:val="true"/>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qFormat/>
    <w:pPr>
      <w:spacing w:before="0" w:after="0"/>
      <w:ind w:left="720"/>
      <w:contextualSpacing/>
    </w:pPr>
    <w:rPr/>
  </w:style>
  <w:style w:type="paragraph" w:styleId="Citao2">
    <w:name w:val="citação 2"/>
    <w:basedOn w:val="Quote"/>
    <w:qFormat/>
    <w:pPr/>
    <w:rPr>
      <w:szCs w:val="20"/>
    </w:rPr>
  </w:style>
  <w:style w:type="paragraph"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qFormat/>
    <w:pPr/>
    <w:rPr>
      <w:szCs w:val="20"/>
    </w:rPr>
  </w:style>
  <w:style w:type="paragraph" w:styleId="Annotationsubject">
    <w:name w:val="annotation subject"/>
    <w:basedOn w:val="Annotationtext"/>
    <w:next w:val="Annotationtext"/>
    <w:link w:val="AssuntodocomentrioChar"/>
    <w:qFormat/>
    <w:pPr/>
    <w:rPr>
      <w:b/>
      <w:bCs/>
    </w:rPr>
  </w:style>
  <w:style w:type="paragraph" w:styleId="Nivel1">
    <w:name w:val="Nivel1"/>
    <w:basedOn w:val="Heading1"/>
    <w:qFormat/>
    <w:pPr>
      <w:spacing w:before="480" w:after="120"/>
      <w:ind w:left="644"/>
    </w:pPr>
    <w:rPr>
      <w:rFonts w:cs="Times New Roman"/>
      <w:b w:val="false"/>
      <w:color w:val="000000"/>
      <w:szCs w:val="20"/>
    </w:rPr>
  </w:style>
  <w:style w:type="paragraph" w:styleId="Nivel2">
    <w:name w:val="Nivel 2"/>
    <w:link w:val="Nivel2Char"/>
    <w:qFormat/>
    <w:pPr>
      <w:widowControl/>
      <w:numPr>
        <w:ilvl w:val="0"/>
        <w:numId w:val="2"/>
      </w:numPr>
      <w:suppressAutoHyphens w:val="true"/>
      <w:overflowPunct w:val="fals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name w:val="Nivel 1"/>
    <w:basedOn w:val="Nivel2"/>
    <w:next w:val="Nivel2"/>
    <w:qFormat/>
    <w:pPr/>
    <w:rPr>
      <w:rFonts w:cs="Arial"/>
      <w:b/>
    </w:rPr>
  </w:style>
  <w:style w:type="paragraph" w:styleId="Nivel3">
    <w:name w:val="Nivel 3"/>
    <w:basedOn w:val="Nivel2"/>
    <w:qFormat/>
    <w:pPr/>
    <w:rPr>
      <w:rFonts w:cs="Arial"/>
      <w:color w:val="000000"/>
    </w:rPr>
  </w:style>
  <w:style w:type="paragraph" w:styleId="Nivel4">
    <w:name w:val="Nivel 4"/>
    <w:basedOn w:val="Nivel3"/>
    <w:link w:val="Nivel4Char"/>
    <w:qFormat/>
    <w:pPr/>
    <w:rPr>
      <w:color w:val="auto"/>
    </w:rPr>
  </w:style>
  <w:style w:type="paragraph" w:styleId="Nivel5">
    <w:name w:val="Nivel 5"/>
    <w:basedOn w:val="Nivel4"/>
    <w:qFormat/>
    <w:pPr>
      <w:tabs>
        <w:tab w:val="clear" w:pos="708"/>
        <w:tab w:val="left" w:pos="360" w:leader="none"/>
      </w:tabs>
    </w:pPr>
    <w:rPr/>
  </w:style>
  <w:style w:type="paragraph" w:styleId="BalloonText">
    <w:name w:val="Balloon Text"/>
    <w:basedOn w:val="Normal"/>
    <w:link w:val="TextodebaloChar"/>
    <w:qFormat/>
    <w:pPr/>
    <w:rPr>
      <w:rFonts w:ascii="Segoe UI" w:hAnsi="Segoe UI" w:cs="Segoe UI"/>
      <w:sz w:val="18"/>
      <w:szCs w:val="18"/>
    </w:rPr>
  </w:style>
  <w:style w:type="paragraph" w:styleId="CabealhoeRodap">
    <w:name w:val="Cabeçalho e Rodapé"/>
    <w:basedOn w:val="Normal"/>
    <w:qFormat/>
    <w:pPr/>
    <w:rPr/>
  </w:style>
  <w:style w:type="paragraph" w:styleId="Header">
    <w:name w:val="Header"/>
    <w:basedOn w:val="Normal"/>
    <w:link w:val="CabealhoChar3"/>
    <w:pPr>
      <w:tabs>
        <w:tab w:val="clear" w:pos="708"/>
        <w:tab w:val="center" w:pos="4252" w:leader="none"/>
        <w:tab w:val="right" w:pos="8504" w:leader="none"/>
      </w:tabs>
    </w:pPr>
    <w:rPr/>
  </w:style>
  <w:style w:type="paragraph" w:styleId="Footer">
    <w:name w:val="Footer"/>
    <w:basedOn w:val="Normal"/>
    <w:link w:val="RodapChar3"/>
    <w:pPr>
      <w:tabs>
        <w:tab w:val="clear" w:pos="708"/>
        <w:tab w:val="center" w:pos="4252" w:leader="none"/>
        <w:tab w:val="right" w:pos="8504" w:leader="none"/>
      </w:tabs>
    </w:pPr>
    <w:rPr/>
  </w:style>
  <w:style w:type="paragraph" w:styleId="Nivel01Titulo">
    <w:name w:val="Nivel_01_Titulo"/>
    <w:basedOn w:val="Heading1"/>
    <w:next w:val="Normal"/>
    <w:qFormat/>
    <w:pPr>
      <w:tabs>
        <w:tab w:val="clear" w:pos="708"/>
        <w:tab w:val="left" w:pos="360" w:leader="none"/>
        <w:tab w:val="left" w:pos="567" w:leader="none"/>
      </w:tabs>
    </w:pPr>
    <w:rPr>
      <w:rFonts w:cs="Times New Roman"/>
      <w:b w:val="false"/>
      <w:bCs/>
      <w:szCs w:val="20"/>
    </w:rPr>
  </w:style>
  <w:style w:type="paragraph" w:styleId="Revision">
    <w:name w:val="Revision"/>
    <w:qFormat/>
    <w:pPr>
      <w:widowControl/>
      <w:suppressAutoHyphens w:val="true"/>
      <w:overflowPunct w:val="false"/>
      <w:bidi w:val="0"/>
      <w:spacing w:before="0" w:after="0"/>
      <w:jc w:val="left"/>
    </w:pPr>
    <w:rPr>
      <w:rFonts w:ascii="Arial" w:hAnsi="Arial" w:eastAsia="Times New Roman" w:cs="Tahoma"/>
      <w:color w:val="auto"/>
      <w:kern w:val="0"/>
      <w:sz w:val="20"/>
      <w:szCs w:val="24"/>
      <w:lang w:val="pt-BR" w:eastAsia="pt-BR" w:bidi="ar-SA"/>
    </w:rPr>
  </w:style>
  <w:style w:type="paragraph" w:styleId="IndexHeading">
    <w:name w:val="Index Heading"/>
    <w:basedOn w:val="Title"/>
    <w:pPr/>
    <w:rPr/>
  </w:style>
  <w:style w:type="paragraph" w:styleId="TOCHeading">
    <w:name w:val="TOC Heading"/>
    <w:basedOn w:val="Heading1"/>
    <w:next w:val="Normal"/>
    <w:qFormat/>
    <w:pPr>
      <w:keepNext w:val="true"/>
      <w:keepLines/>
      <w:numPr>
        <w:ilvl w:val="0"/>
        <w:numId w:val="0"/>
      </w:numPr>
      <w:suppressAutoHyphens w:val="false"/>
      <w:spacing w:lineRule="auto" w:line="259" w:before="240" w:after="0"/>
      <w:ind w:firstLine="567"/>
      <w:jc w:val="left"/>
      <w:textAlignment w:val="auto"/>
      <w:outlineLvl w:val="9"/>
    </w:pPr>
    <w:rPr>
      <w:rFonts w:ascii="Calibri Light" w:hAnsi="Calibri Light" w:eastAsia="Calibri" w:cs="Tahoma"/>
      <w:b w:val="false"/>
      <w:color w:themeColor="accent1" w:themeShade="bf" w:val="2E74B5"/>
      <w:sz w:val="32"/>
      <w:szCs w:val="32"/>
      <w:lang w:eastAsia="pt-BR" w:bidi="ar-SA"/>
    </w:rPr>
  </w:style>
  <w:style w:type="paragraph" w:styleId="TOC1">
    <w:name w:val="TOC 1"/>
    <w:basedOn w:val="Normal"/>
    <w:next w:val="Normal"/>
    <w:autoRedefine/>
    <w:pPr>
      <w:tabs>
        <w:tab w:val="clear" w:pos="708"/>
        <w:tab w:val="left" w:pos="440" w:leader="none"/>
        <w:tab w:val="right" w:pos="8494" w:leader="dot"/>
      </w:tabs>
      <w:spacing w:before="0" w:after="100"/>
    </w:pPr>
    <w:rPr/>
  </w:style>
  <w:style w:type="paragraph" w:styleId="Nvel3-R">
    <w:name w:val="Nível 3-R"/>
    <w:basedOn w:val="Nivel3"/>
    <w:link w:val="Nvel3-RChar"/>
    <w:qFormat/>
    <w:pPr>
      <w:numPr>
        <w:ilvl w:val="2"/>
        <w:numId w:val="1"/>
      </w:numPr>
      <w:suppressAutoHyphens w:val="false"/>
      <w:ind w:hanging="0" w:left="284"/>
    </w:pPr>
    <w:rPr>
      <w:rFonts w:ascii="Arial" w:hAnsi="Arial" w:eastAsia="Calibri"/>
      <w:i/>
      <w:iCs/>
      <w:color w:val="FF0000"/>
    </w:rPr>
  </w:style>
  <w:style w:type="paragraph" w:styleId="Nvel4-R">
    <w:name w:val="Nível 4-R"/>
    <w:basedOn w:val="Nivel4"/>
    <w:link w:val="Nvel4-RChar"/>
    <w:qFormat/>
    <w:pPr>
      <w:numPr>
        <w:ilvl w:val="3"/>
        <w:numId w:val="1"/>
      </w:numPr>
      <w:suppressAutoHyphens w:val="false"/>
      <w:ind w:hanging="0" w:left="567"/>
    </w:pPr>
    <w:rPr>
      <w:rFonts w:ascii="Arial" w:hAnsi="Arial" w:eastAsia="Calibri"/>
      <w:i/>
      <w:iCs/>
      <w:color w:val="FF0000"/>
    </w:rPr>
  </w:style>
  <w:style w:type="paragraph" w:styleId="Contedodatabela">
    <w:name w:val="Conteúdo da tabela"/>
    <w:basedOn w:val="Normal"/>
    <w:qFormat/>
    <w:pPr>
      <w:suppressLineNumbers/>
    </w:pPr>
    <w:rPr/>
  </w:style>
  <w:style w:type="paragraph" w:styleId="Contedodatabela3">
    <w:name w:val="Conteúdo da tabela3"/>
    <w:basedOn w:val="Normal"/>
    <w:qFormat/>
    <w:pPr>
      <w:widowControl w:val="false"/>
      <w:suppressLineNumbers/>
    </w:pPr>
    <w:rPr/>
  </w:style>
  <w:style w:type="paragraph" w:styleId="Ttulodetabela">
    <w:name w:val="Título de tabela"/>
    <w:basedOn w:val="Contedodatabela"/>
    <w:qFormat/>
    <w:pPr>
      <w:jc w:val="center"/>
    </w:pPr>
    <w:rPr>
      <w:b/>
      <w:bCs/>
    </w:rPr>
  </w:style>
  <w:style w:type="paragraph" w:styleId="TableParagraph">
    <w:name w:val="Table Paragraph"/>
    <w:basedOn w:val="Normal"/>
    <w:qFormat/>
    <w:pPr/>
    <w:rPr>
      <w:rFonts w:ascii="Cambria" w:hAnsi="Cambria" w:eastAsia="Cambria" w:cs="Cambria"/>
      <w:lang w:val="pt-PT" w:eastAsia="pt-PT" w:bidi="pt-PT"/>
    </w:rPr>
  </w:style>
  <w:style w:type="paragraph" w:styleId="Standard">
    <w:name w:val="Standard"/>
    <w:qFormat/>
    <w:pPr>
      <w:widowControl/>
      <w:suppressAutoHyphens w:val="true"/>
      <w:overflowPunct w:val="false"/>
      <w:bidi w:val="0"/>
      <w:spacing w:before="0" w:after="0"/>
      <w:jc w:val="left"/>
      <w:textAlignment w:val="baseline"/>
    </w:pPr>
    <w:rPr>
      <w:rFonts w:ascii="Times New Roman" w:hAnsi="Times New Roman" w:eastAsia="Times New Roman" w:cs="Times New Roman"/>
      <w:color w:val="00000A"/>
      <w:kern w:val="2"/>
      <w:sz w:val="20"/>
      <w:szCs w:val="20"/>
      <w:lang w:val="pt-BR" w:eastAsia="zh-CN" w:bidi="ar-SA"/>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image" Target="media/image2.png"/><Relationship Id="rId6" Type="http://schemas.openxmlformats.org/officeDocument/2006/relationships/hyperlink" Target="http://www.gov.br/compras" TargetMode="External"/><Relationship Id="rId7" Type="http://schemas.openxmlformats.org/officeDocument/2006/relationships/hyperlink" Target="http://www.pncp.gov.br/" TargetMode="External"/><Relationship Id="rId8" Type="http://schemas.openxmlformats.org/officeDocument/2006/relationships/hyperlink" Target="https://www.gov.br/compras/pt-br/sistemas/conheca-o-compras/aplicativo-compras" TargetMode="External"/><Relationship Id="rId9" Type="http://schemas.openxmlformats.org/officeDocument/2006/relationships/hyperlink" Target="http://www.planalto.gov.br/ccivil_03/LEIS/L6404consol.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_ato2011-2014/2013/lei/l12846.htm" TargetMode="Externa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oter" Target="footer2.xml"/><Relationship Id="rId16" Type="http://schemas.openxmlformats.org/officeDocument/2006/relationships/footer" Target="footer3.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www.comprasnet.gov.br/seguro/loginPortalFornecedor.asp" TargetMode="External"/>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1361</TotalTime>
  <Application>LibreOffice/7.6.4.1$Windows_X86_64 LibreOffice_project/e19e193f88cd6c0525a17fb7a176ed8e6a3e2aa1</Application>
  <AppVersion>15.0000</AppVersion>
  <Pages>17</Pages>
  <Words>5652</Words>
  <Characters>31850</Characters>
  <CharactersWithSpaces>37043</CharactersWithSpaces>
  <Paragraphs>322</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2023-08-30T14:09:00Z</dcterms:created>
  <dc:creator/>
  <dc:description/>
  <dc:language>pt-BR</dc:language>
  <cp:lastModifiedBy/>
  <cp:lastPrinted>2024-07-04T09:25:37Z</cp:lastPrinted>
  <dcterms:modified xsi:type="dcterms:W3CDTF">2024-09-13T10:13:47Z</dcterms:modified>
  <cp:revision>58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